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B6E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502FE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9C3EF4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5A11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5C327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11D97D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51107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08EA08F">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39F1615C">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鹤壁市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1D441DE">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4CE77AE">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60B4A9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EF22B7B">
      <w:pPr>
        <w:pStyle w:val="50"/>
        <w:framePr w:w="9639" w:h="6976" w:hRule="exact" w:hSpace="0" w:vSpace="0" w:wrap="around" w:hAnchor="page" w:y="6408"/>
        <w:jc w:val="center"/>
        <w:rPr>
          <w:rFonts w:ascii="黑体" w:hAnsi="黑体" w:eastAsia="黑体"/>
          <w:b w:val="0"/>
          <w:bCs w:val="0"/>
          <w:w w:val="100"/>
        </w:rPr>
      </w:pPr>
    </w:p>
    <w:p w14:paraId="191E947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药品零售企业</w:t>
      </w:r>
      <w:bookmarkStart w:id="115" w:name="_GoBack"/>
      <w:bookmarkEnd w:id="115"/>
      <w:r>
        <w:rPr>
          <w:rFonts w:hint="eastAsia"/>
          <w:lang w:eastAsia="zh-CN"/>
        </w:rPr>
        <w:t>服务规范</w:t>
      </w:r>
      <w:r>
        <w:fldChar w:fldCharType="end"/>
      </w:r>
      <w:bookmarkEnd w:id="9"/>
    </w:p>
    <w:p w14:paraId="3C92BE96">
      <w:pPr>
        <w:framePr w:w="9639" w:h="6974" w:hRule="exact" w:wrap="around" w:vAnchor="page" w:hAnchor="page" w:x="1419" w:y="6408" w:anchorLock="1"/>
        <w:ind w:left="-1418"/>
      </w:pPr>
    </w:p>
    <w:p w14:paraId="307D7789">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10"/>
    </w:p>
    <w:p w14:paraId="6580F6AB">
      <w:pPr>
        <w:framePr w:w="9639" w:h="6974" w:hRule="exact" w:wrap="around" w:vAnchor="page" w:hAnchor="page" w:x="1419" w:y="6408" w:anchorLock="1"/>
        <w:spacing w:line="760" w:lineRule="exact"/>
        <w:ind w:left="-1418"/>
      </w:pPr>
    </w:p>
    <w:p w14:paraId="31A22DAD">
      <w:pPr>
        <w:pStyle w:val="125"/>
        <w:framePr w:w="9639" w:h="6974" w:hRule="exact" w:wrap="around" w:vAnchor="page" w:hAnchor="page" w:x="1419" w:y="6408" w:anchorLock="1"/>
        <w:textAlignment w:val="bottom"/>
        <w:rPr>
          <w:rFonts w:eastAsia="黑体"/>
          <w:szCs w:val="28"/>
        </w:rPr>
      </w:pPr>
    </w:p>
    <w:p w14:paraId="29D23B8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0854E3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60F929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12FD1D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CED321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B2A00C8">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CF6736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D4C53A8">
      <w:pPr>
        <w:pStyle w:val="91"/>
        <w:spacing w:after="468"/>
        <w:rPr>
          <w:rFonts w:hint="eastAsia"/>
        </w:rPr>
      </w:pPr>
      <w:bookmarkStart w:id="21" w:name="BookMark1"/>
      <w:bookmarkStart w:id="22" w:name="_Toc166491086"/>
      <w:bookmarkStart w:id="23" w:name="_Toc166491042"/>
      <w:bookmarkStart w:id="24" w:name="_Toc166481950"/>
      <w:bookmarkStart w:id="25" w:name="_Toc166681191"/>
      <w:bookmarkStart w:id="26" w:name="_Toc166571323"/>
      <w:bookmarkStart w:id="27" w:name="_Toc166491108"/>
      <w:r>
        <w:rPr>
          <w:rFonts w:hint="eastAsia"/>
          <w:spacing w:val="320"/>
        </w:rPr>
        <w:t>目</w:t>
      </w:r>
      <w:r>
        <w:rPr>
          <w:rFonts w:hint="eastAsia"/>
        </w:rPr>
        <w:t>次</w:t>
      </w:r>
    </w:p>
    <w:p w14:paraId="7762FDB4">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"_Toc167430927" </w:instrText>
      </w:r>
      <w:r>
        <w:fldChar w:fldCharType="separate"/>
      </w:r>
      <w:r>
        <w:rPr>
          <w:rStyle w:val="32"/>
        </w:rPr>
        <w:t>前言</w:t>
      </w:r>
      <w:r>
        <w:tab/>
      </w:r>
      <w:r>
        <w:fldChar w:fldCharType="begin"/>
      </w:r>
      <w:r>
        <w:instrText xml:space="preserve"> PAGEREF _Toc167430927 \h </w:instrText>
      </w:r>
      <w:r>
        <w:fldChar w:fldCharType="separate"/>
      </w:r>
      <w:r>
        <w:t>II</w:t>
      </w:r>
      <w:r>
        <w:fldChar w:fldCharType="end"/>
      </w:r>
      <w:r>
        <w:fldChar w:fldCharType="begin"/>
      </w:r>
      <w:r>
        <w:instrText xml:space="preserve"> PAGEREF _Toc167430927 \h </w:instrText>
      </w:r>
      <w:r>
        <w:fldChar w:fldCharType="separate"/>
      </w:r>
      <w:r>
        <w:t>II</w:t>
      </w:r>
      <w:r>
        <w:fldChar w:fldCharType="end"/>
      </w:r>
      <w:r>
        <w:fldChar w:fldCharType="end"/>
      </w:r>
    </w:p>
    <w:p w14:paraId="29B4E460">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"_Toc167430928" </w:instrText>
      </w:r>
      <w:r>
        <w:fldChar w:fldCharType="separate"/>
      </w:r>
      <w:r>
        <w:rPr>
          <w:rStyle w:val="32"/>
        </w:rPr>
        <w:t>1  范围</w:t>
      </w:r>
      <w:r>
        <w:tab/>
      </w:r>
      <w:r>
        <w:rPr>
          <w:rFonts w:hint="eastAsia"/>
          <w:lang w:val="en-US" w:eastAsia="zh-CN"/>
        </w:rPr>
        <w:t>1</w:t>
      </w:r>
      <w:r>
        <w:fldChar w:fldCharType="end"/>
      </w:r>
    </w:p>
    <w:p w14:paraId="4AC5860C">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"_Toc167430929" </w:instrText>
      </w:r>
      <w:r>
        <w:fldChar w:fldCharType="separate"/>
      </w:r>
      <w:r>
        <w:rPr>
          <w:rStyle w:val="32"/>
        </w:rPr>
        <w:t>2  规范性引用文件</w:t>
      </w:r>
      <w:r>
        <w:tab/>
      </w:r>
      <w:r>
        <w:rPr>
          <w:rFonts w:hint="eastAsia"/>
          <w:lang w:val="en-US" w:eastAsia="zh-CN"/>
        </w:rPr>
        <w:t>1</w:t>
      </w:r>
      <w:r>
        <w:fldChar w:fldCharType="end"/>
      </w:r>
    </w:p>
    <w:p w14:paraId="046830A6">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"_Toc167430930" </w:instrText>
      </w:r>
      <w:r>
        <w:fldChar w:fldCharType="separate"/>
      </w:r>
      <w:r>
        <w:rPr>
          <w:rStyle w:val="32"/>
        </w:rPr>
        <w:t>3  术语和定义</w:t>
      </w:r>
      <w:r>
        <w:tab/>
      </w:r>
      <w:r>
        <w:rPr>
          <w:rFonts w:hint="eastAsia"/>
          <w:lang w:val="en-US" w:eastAsia="zh-CN"/>
        </w:rPr>
        <w:t>1</w:t>
      </w:r>
      <w:r>
        <w:fldChar w:fldCharType="end"/>
      </w:r>
    </w:p>
    <w:p w14:paraId="5D840D1F">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"_Toc167430931" </w:instrText>
      </w:r>
      <w:r>
        <w:fldChar w:fldCharType="separate"/>
      </w:r>
      <w:r>
        <w:rPr>
          <w:rStyle w:val="32"/>
        </w:rPr>
        <w:t xml:space="preserve">4  </w:t>
      </w:r>
      <w:r>
        <w:rPr>
          <w:rStyle w:val="32"/>
          <w:rFonts w:hint="eastAsia"/>
          <w:lang w:val="en-US" w:eastAsia="zh-CN"/>
        </w:rPr>
        <w:t>人员要求</w:t>
      </w:r>
      <w:r>
        <w:tab/>
      </w:r>
      <w:r>
        <w:rPr>
          <w:rFonts w:hint="eastAsia"/>
          <w:lang w:val="en-US" w:eastAsia="zh-CN"/>
        </w:rPr>
        <w:t>1</w:t>
      </w:r>
      <w:r>
        <w:fldChar w:fldCharType="end"/>
      </w:r>
    </w:p>
    <w:p w14:paraId="6824787C">
      <w:pPr>
        <w:pStyle w:val="24"/>
        <w:rPr>
          <w:rFonts w:asciiTheme="minorHAnsi" w:hAnsiTheme="minorHAnsi" w:eastAsiaTheme="minorEastAsia" w:cstheme="minorBidi"/>
          <w:szCs w:val="22"/>
        </w:rPr>
      </w:pPr>
      <w:r>
        <w:fldChar w:fldCharType="begin"/>
      </w:r>
      <w:r>
        <w:instrText xml:space="preserve"> HYPERLINK \l "_Toc167430932" </w:instrText>
      </w:r>
      <w:r>
        <w:fldChar w:fldCharType="separate"/>
      </w:r>
      <w:r>
        <w:rPr>
          <w:rStyle w:val="32"/>
          <w14:scene3d>
            <w14:lightRig w14:rig="threePt" w14:dir="t">
              <w14:rot w14:lat="0" w14:lon="0" w14:rev="0"/>
            </w14:lightRig>
          </w14:scene3d>
        </w:rPr>
        <w:t xml:space="preserve">4.1 </w:t>
      </w:r>
      <w:r>
        <w:rPr>
          <w:rStyle w:val="32"/>
        </w:rPr>
        <w:t xml:space="preserve"> </w:t>
      </w:r>
      <w:r>
        <w:rPr>
          <w:rStyle w:val="32"/>
          <w:rFonts w:hint="eastAsia"/>
          <w:lang w:val="en-US" w:eastAsia="zh-CN"/>
        </w:rPr>
        <w:t>职业道德</w:t>
      </w:r>
      <w:r>
        <w:tab/>
      </w:r>
      <w:r>
        <w:rPr>
          <w:rFonts w:hint="eastAsia"/>
          <w:lang w:val="en-US" w:eastAsia="zh-CN"/>
        </w:rPr>
        <w:t>1</w:t>
      </w:r>
      <w:r>
        <w:fldChar w:fldCharType="end"/>
      </w:r>
    </w:p>
    <w:p w14:paraId="5D185D0A">
      <w:pPr>
        <w:pStyle w:val="24"/>
        <w:rPr>
          <w:rFonts w:hint="eastAsia" w:eastAsia="宋体"/>
          <w:lang w:val="en-US" w:eastAsia="zh-CN"/>
        </w:rPr>
      </w:pPr>
      <w:r>
        <w:fldChar w:fldCharType="begin"/>
      </w:r>
      <w:r>
        <w:instrText xml:space="preserve"> HYPERLINK \l "_Toc167430933" </w:instrText>
      </w:r>
      <w:r>
        <w:fldChar w:fldCharType="separate"/>
      </w:r>
      <w:r>
        <w:rPr>
          <w:rStyle w:val="32"/>
          <w14:scene3d>
            <w14:lightRig w14:rig="threePt" w14:dir="t">
              <w14:rot w14:lat="0" w14:lon="0" w14:rev="0"/>
            </w14:lightRig>
          </w14:scene3d>
        </w:rPr>
        <w:t xml:space="preserve">4.2 </w:t>
      </w:r>
      <w:r>
        <w:rPr>
          <w:rStyle w:val="32"/>
        </w:rPr>
        <w:t xml:space="preserve"> </w:t>
      </w:r>
      <w:r>
        <w:rPr>
          <w:rStyle w:val="32"/>
          <w:rFonts w:hint="eastAsia"/>
          <w:lang w:val="en-US" w:eastAsia="zh-CN"/>
        </w:rPr>
        <w:t>专业知识</w:t>
      </w:r>
      <w:r>
        <w:tab/>
      </w:r>
      <w:r>
        <w:fldChar w:fldCharType="end"/>
      </w:r>
      <w:r>
        <w:rPr>
          <w:rFonts w:hint="eastAsia"/>
          <w:lang w:val="en-US" w:eastAsia="zh-CN"/>
        </w:rPr>
        <w:t>2</w:t>
      </w:r>
    </w:p>
    <w:p w14:paraId="56ADCE1C">
      <w:pPr>
        <w:pStyle w:val="24"/>
        <w:rPr>
          <w:rFonts w:hint="eastAsia" w:eastAsia="宋体" w:asciiTheme="minorHAnsi" w:hAnsiTheme="minorHAnsi" w:cstheme="minorBidi"/>
          <w:szCs w:val="22"/>
          <w:lang w:val="en-US" w:eastAsia="zh-CN"/>
        </w:rPr>
      </w:pPr>
      <w:r>
        <w:fldChar w:fldCharType="begin"/>
      </w:r>
      <w:r>
        <w:instrText xml:space="preserve"> HYPERLINK \l "_Toc167430932" </w:instrText>
      </w:r>
      <w:r>
        <w:fldChar w:fldCharType="separate"/>
      </w:r>
      <w:r>
        <w:rPr>
          <w:rStyle w:val="32"/>
          <w14:scene3d>
            <w14:lightRig w14:rig="threePt" w14:dir="t">
              <w14:rot w14:lat="0" w14:lon="0" w14:rev="0"/>
            </w14:lightRig>
          </w14:scene3d>
        </w:rPr>
        <w:t>4.</w:t>
      </w:r>
      <w:r>
        <w:rPr>
          <w:rStyle w:val="32"/>
          <w:rFonts w:hint="eastAsia"/>
          <w:lang w:val="en-US" w:eastAsia="zh-CN"/>
          <w14:scene3d>
            <w14:lightRig w14:rig="threePt" w14:dir="t">
              <w14:rot w14:lat="0" w14:lon="0" w14:rev="0"/>
            </w14:lightRig>
          </w14:scene3d>
        </w:rPr>
        <w:t>3</w:t>
      </w:r>
      <w:r>
        <w:rPr>
          <w:rStyle w:val="32"/>
          <w14:scene3d>
            <w14:lightRig w14:rig="threePt" w14:dir="t">
              <w14:rot w14:lat="0" w14:lon="0" w14:rev="0"/>
            </w14:lightRig>
          </w14:scene3d>
        </w:rPr>
        <w:t xml:space="preserve"> </w:t>
      </w:r>
      <w:r>
        <w:rPr>
          <w:rStyle w:val="32"/>
        </w:rPr>
        <w:t xml:space="preserve"> </w:t>
      </w:r>
      <w:r>
        <w:rPr>
          <w:rStyle w:val="32"/>
          <w:rFonts w:hint="eastAsia"/>
          <w:lang w:val="en-US" w:eastAsia="zh-CN"/>
        </w:rPr>
        <w:t>沟通能力</w:t>
      </w:r>
      <w:r>
        <w:tab/>
      </w:r>
      <w:r>
        <w:fldChar w:fldCharType="end"/>
      </w:r>
      <w:r>
        <w:rPr>
          <w:rFonts w:hint="eastAsia"/>
          <w:lang w:val="en-US" w:eastAsia="zh-CN"/>
        </w:rPr>
        <w:t>2</w:t>
      </w:r>
    </w:p>
    <w:p w14:paraId="565B15AF">
      <w:pPr>
        <w:pStyle w:val="24"/>
        <w:rPr>
          <w:rFonts w:hint="eastAsia" w:eastAsia="宋体" w:asciiTheme="minorHAnsi" w:hAnsiTheme="minorHAnsi" w:cstheme="minorBidi"/>
          <w:szCs w:val="22"/>
          <w:lang w:val="en-US" w:eastAsia="zh-CN"/>
        </w:rPr>
      </w:pPr>
      <w:r>
        <w:fldChar w:fldCharType="begin"/>
      </w:r>
      <w:r>
        <w:instrText xml:space="preserve"> HYPERLINK \l "_Toc167430932" </w:instrText>
      </w:r>
      <w:r>
        <w:fldChar w:fldCharType="separate"/>
      </w:r>
      <w:r>
        <w:rPr>
          <w:rStyle w:val="32"/>
          <w14:scene3d>
            <w14:lightRig w14:rig="threePt" w14:dir="t">
              <w14:rot w14:lat="0" w14:lon="0" w14:rev="0"/>
            </w14:lightRig>
          </w14:scene3d>
        </w:rPr>
        <w:t>4.</w:t>
      </w:r>
      <w:r>
        <w:rPr>
          <w:rStyle w:val="32"/>
          <w:rFonts w:hint="eastAsia"/>
          <w:lang w:val="en-US" w:eastAsia="zh-CN"/>
          <w14:scene3d>
            <w14:lightRig w14:rig="threePt" w14:dir="t">
              <w14:rot w14:lat="0" w14:lon="0" w14:rev="0"/>
            </w14:lightRig>
          </w14:scene3d>
        </w:rPr>
        <w:t>4</w:t>
      </w:r>
      <w:r>
        <w:rPr>
          <w:rStyle w:val="32"/>
          <w14:scene3d>
            <w14:lightRig w14:rig="threePt" w14:dir="t">
              <w14:rot w14:lat="0" w14:lon="0" w14:rev="0"/>
            </w14:lightRig>
          </w14:scene3d>
        </w:rPr>
        <w:t xml:space="preserve"> </w:t>
      </w:r>
      <w:r>
        <w:rPr>
          <w:rStyle w:val="32"/>
        </w:rPr>
        <w:t xml:space="preserve"> </w:t>
      </w:r>
      <w:r>
        <w:rPr>
          <w:rStyle w:val="32"/>
          <w:rFonts w:hint="eastAsia"/>
          <w:lang w:val="en-US" w:eastAsia="zh-CN"/>
        </w:rPr>
        <w:t>行为准则</w:t>
      </w:r>
      <w:r>
        <w:tab/>
      </w:r>
      <w:r>
        <w:fldChar w:fldCharType="end"/>
      </w:r>
      <w:r>
        <w:rPr>
          <w:rFonts w:hint="eastAsia"/>
          <w:lang w:val="en-US" w:eastAsia="zh-CN"/>
        </w:rPr>
        <w:t>2</w:t>
      </w:r>
    </w:p>
    <w:p w14:paraId="5CFF06CB">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Style w:val="32"/>
        </w:rPr>
        <w:t xml:space="preserve">5  </w:t>
      </w:r>
      <w:r>
        <w:rPr>
          <w:rStyle w:val="32"/>
          <w:rFonts w:hint="eastAsia" w:hAnsi="Times New Roman" w:cs="Times New Roman"/>
          <w:dstrike w:val="0"/>
          <w:lang w:val="en-US" w:eastAsia="zh-CN"/>
        </w:rPr>
        <w:t>设施设备条件</w:t>
      </w:r>
      <w:r>
        <w:tab/>
      </w:r>
      <w:r>
        <w:rPr>
          <w:rFonts w:hint="eastAsia"/>
          <w:lang w:val="en-US" w:eastAsia="zh-CN"/>
        </w:rPr>
        <w:t>2</w:t>
      </w:r>
      <w:r>
        <w:fldChar w:fldCharType="end"/>
      </w:r>
    </w:p>
    <w:p w14:paraId="453297CA">
      <w:pPr>
        <w:pStyle w:val="24"/>
        <w:rPr>
          <w:rFonts w:asciiTheme="minorHAnsi" w:hAnsiTheme="minorHAnsi" w:eastAsiaTheme="minorEastAsia" w:cstheme="minorBidi"/>
          <w:szCs w:val="22"/>
        </w:rPr>
      </w:pPr>
      <w:r>
        <w:fldChar w:fldCharType="begin"/>
      </w:r>
      <w:r>
        <w:instrText xml:space="preserve"> HYPERLINK \l "_Toc167430936" </w:instrText>
      </w:r>
      <w:r>
        <w:fldChar w:fldCharType="separate"/>
      </w:r>
      <w:r>
        <w:rPr>
          <w:rStyle w:val="32"/>
          <w14:scene3d>
            <w14:lightRig w14:rig="threePt" w14:dir="t">
              <w14:rot w14:lat="0" w14:lon="0" w14:rev="0"/>
            </w14:lightRig>
          </w14:scene3d>
        </w:rPr>
        <w:t xml:space="preserve">5.1 </w:t>
      </w:r>
      <w:r>
        <w:rPr>
          <w:rStyle w:val="32"/>
        </w:rPr>
        <w:t xml:space="preserve"> </w:t>
      </w:r>
      <w:r>
        <w:rPr>
          <w:rFonts w:hint="eastAsia"/>
          <w:snapToGrid w:val="0"/>
          <w:color w:val="000000"/>
          <w:spacing w:val="-8"/>
          <w:kern w:val="0"/>
          <w:sz w:val="21"/>
          <w:szCs w:val="21"/>
          <w:lang w:val="en-US" w:eastAsia="zh-CN"/>
        </w:rPr>
        <w:t>仓储设备</w:t>
      </w:r>
      <w:r>
        <w:tab/>
      </w:r>
      <w:r>
        <w:rPr>
          <w:rFonts w:hint="eastAsia"/>
          <w:lang w:val="en-US" w:eastAsia="zh-CN"/>
        </w:rPr>
        <w:t>2</w:t>
      </w:r>
      <w:r>
        <w:fldChar w:fldCharType="end"/>
      </w:r>
    </w:p>
    <w:p w14:paraId="581FBB8A">
      <w:pPr>
        <w:pStyle w:val="24"/>
        <w:rPr>
          <w:rFonts w:hint="eastAsia" w:eastAsia="宋体"/>
          <w:lang w:val="en-US" w:eastAsia="zh-CN"/>
        </w:rPr>
      </w:pPr>
      <w:r>
        <w:fldChar w:fldCharType="begin"/>
      </w:r>
      <w:r>
        <w:instrText xml:space="preserve"> HYPERLINK \l "_Toc167430937" </w:instrText>
      </w:r>
      <w:r>
        <w:fldChar w:fldCharType="separate"/>
      </w:r>
      <w:r>
        <w:rPr>
          <w:rStyle w:val="32"/>
          <w14:scene3d>
            <w14:lightRig w14:rig="threePt" w14:dir="t">
              <w14:rot w14:lat="0" w14:lon="0" w14:rev="0"/>
            </w14:lightRig>
          </w14:scene3d>
        </w:rPr>
        <w:t xml:space="preserve">5.2 </w:t>
      </w:r>
      <w:r>
        <w:rPr>
          <w:rStyle w:val="32"/>
        </w:rPr>
        <w:t xml:space="preserve"> </w:t>
      </w:r>
      <w:r>
        <w:rPr>
          <w:rStyle w:val="32"/>
          <w:rFonts w:hint="eastAsia"/>
          <w:lang w:val="en-US" w:eastAsia="zh-CN"/>
        </w:rPr>
        <w:t>陈列设施</w:t>
      </w:r>
      <w:r>
        <w:tab/>
      </w:r>
      <w:r>
        <w:fldChar w:fldCharType="end"/>
      </w:r>
      <w:r>
        <w:rPr>
          <w:rFonts w:hint="eastAsia"/>
          <w:lang w:val="en-US" w:eastAsia="zh-CN"/>
        </w:rPr>
        <w:t>3</w:t>
      </w:r>
    </w:p>
    <w:p w14:paraId="24E1F60A">
      <w:pPr>
        <w:pStyle w:val="24"/>
        <w:rPr>
          <w:rFonts w:hint="eastAsia" w:eastAsia="宋体" w:asciiTheme="minorHAnsi" w:hAnsiTheme="minorHAnsi" w:cstheme="minorBidi"/>
          <w:szCs w:val="22"/>
          <w:lang w:val="en-US" w:eastAsia="zh-CN"/>
        </w:rPr>
      </w:pPr>
      <w:r>
        <w:fldChar w:fldCharType="begin"/>
      </w:r>
      <w:r>
        <w:instrText xml:space="preserve"> HYPERLINK \l "_Toc167430932" </w:instrText>
      </w:r>
      <w:r>
        <w:fldChar w:fldCharType="separate"/>
      </w:r>
      <w:r>
        <w:rPr>
          <w:rStyle w:val="32"/>
          <w:rFonts w:hint="eastAsia"/>
          <w:lang w:val="en-US" w:eastAsia="zh-CN"/>
          <w14:scene3d>
            <w14:lightRig w14:rig="threePt" w14:dir="t">
              <w14:rot w14:lat="0" w14:lon="0" w14:rev="0"/>
            </w14:lightRig>
          </w14:scene3d>
        </w:rPr>
        <w:t>5.3</w:t>
      </w:r>
      <w:r>
        <w:rPr>
          <w:rStyle w:val="32"/>
          <w14:scene3d>
            <w14:lightRig w14:rig="threePt" w14:dir="t">
              <w14:rot w14:lat="0" w14:lon="0" w14:rev="0"/>
            </w14:lightRig>
          </w14:scene3d>
        </w:rPr>
        <w:t xml:space="preserve"> </w:t>
      </w:r>
      <w:r>
        <w:rPr>
          <w:rStyle w:val="32"/>
        </w:rPr>
        <w:t xml:space="preserve"> </w:t>
      </w:r>
      <w:r>
        <w:rPr>
          <w:rFonts w:hint="eastAsia"/>
          <w:snapToGrid w:val="0"/>
          <w:color w:val="000000"/>
          <w:spacing w:val="-8"/>
          <w:kern w:val="0"/>
          <w:sz w:val="21"/>
          <w:szCs w:val="21"/>
          <w:lang w:val="en-US" w:eastAsia="zh-CN"/>
        </w:rPr>
        <w:t>养护设施</w:t>
      </w:r>
      <w:r>
        <w:tab/>
      </w:r>
      <w:r>
        <w:fldChar w:fldCharType="end"/>
      </w:r>
      <w:r>
        <w:rPr>
          <w:rFonts w:hint="eastAsia"/>
          <w:lang w:val="en-US" w:eastAsia="zh-CN"/>
        </w:rPr>
        <w:t>3</w:t>
      </w:r>
    </w:p>
    <w:p w14:paraId="61E7FFAA">
      <w:pPr>
        <w:pStyle w:val="24"/>
        <w:rPr>
          <w:rFonts w:hint="eastAsia" w:eastAsia="宋体" w:asciiTheme="minorHAnsi" w:hAnsiTheme="minorHAnsi" w:cstheme="minorBidi"/>
          <w:szCs w:val="22"/>
          <w:lang w:val="en-US" w:eastAsia="zh-CN"/>
        </w:rPr>
      </w:pPr>
      <w:r>
        <w:fldChar w:fldCharType="begin"/>
      </w:r>
      <w:r>
        <w:instrText xml:space="preserve"> HYPERLINK \l "_Toc167430932" </w:instrText>
      </w:r>
      <w:r>
        <w:fldChar w:fldCharType="separate"/>
      </w:r>
      <w:r>
        <w:rPr>
          <w:rStyle w:val="32"/>
          <w:rFonts w:hint="eastAsia"/>
          <w:lang w:val="en-US" w:eastAsia="zh-CN"/>
          <w14:scene3d>
            <w14:lightRig w14:rig="threePt" w14:dir="t">
              <w14:rot w14:lat="0" w14:lon="0" w14:rev="0"/>
            </w14:lightRig>
          </w14:scene3d>
        </w:rPr>
        <w:t>5.4</w:t>
      </w:r>
      <w:r>
        <w:rPr>
          <w:rStyle w:val="32"/>
          <w14:scene3d>
            <w14:lightRig w14:rig="threePt" w14:dir="t">
              <w14:rot w14:lat="0" w14:lon="0" w14:rev="0"/>
            </w14:lightRig>
          </w14:scene3d>
        </w:rPr>
        <w:t xml:space="preserve"> </w:t>
      </w:r>
      <w:r>
        <w:rPr>
          <w:rStyle w:val="32"/>
        </w:rPr>
        <w:t xml:space="preserve"> </w:t>
      </w:r>
      <w:r>
        <w:rPr>
          <w:rFonts w:hint="eastAsia"/>
          <w:snapToGrid w:val="0"/>
          <w:color w:val="000000"/>
          <w:spacing w:val="-8"/>
          <w:kern w:val="0"/>
          <w:sz w:val="21"/>
          <w:szCs w:val="21"/>
          <w:lang w:val="en-US" w:eastAsia="zh-CN"/>
        </w:rPr>
        <w:t>信息化设施</w:t>
      </w:r>
      <w:r>
        <w:tab/>
      </w:r>
      <w:r>
        <w:fldChar w:fldCharType="end"/>
      </w:r>
      <w:r>
        <w:rPr>
          <w:rFonts w:hint="eastAsia"/>
          <w:lang w:val="en-US" w:eastAsia="zh-CN"/>
        </w:rPr>
        <w:t>3</w:t>
      </w:r>
    </w:p>
    <w:p w14:paraId="5321EF4B">
      <w:pPr>
        <w:pStyle w:val="19"/>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"_Toc167430939" </w:instrText>
      </w:r>
      <w:r>
        <w:fldChar w:fldCharType="separate"/>
      </w:r>
      <w:r>
        <w:rPr>
          <w:rStyle w:val="32"/>
        </w:rPr>
        <w:t xml:space="preserve">6  </w:t>
      </w:r>
      <w:r>
        <w:rPr>
          <w:rStyle w:val="32"/>
          <w:rFonts w:hint="eastAsia"/>
          <w:lang w:eastAsia="zh-CN"/>
        </w:rPr>
        <w:t>环境</w:t>
      </w:r>
      <w:r>
        <w:rPr>
          <w:rStyle w:val="32"/>
          <w:rFonts w:hint="eastAsia"/>
          <w:lang w:val="en-US" w:eastAsia="zh-CN"/>
        </w:rPr>
        <w:t>要求</w:t>
      </w:r>
      <w:r>
        <w:tab/>
      </w:r>
      <w:r>
        <w:fldChar w:fldCharType="end"/>
      </w:r>
      <w:r>
        <w:rPr>
          <w:rFonts w:hint="eastAsia"/>
          <w:lang w:val="en-US" w:eastAsia="zh-CN"/>
        </w:rPr>
        <w:t>3</w:t>
      </w:r>
    </w:p>
    <w:p w14:paraId="244F5E45">
      <w:pPr>
        <w:pStyle w:val="19"/>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"_Toc167430939" </w:instrText>
      </w:r>
      <w:r>
        <w:fldChar w:fldCharType="separate"/>
      </w:r>
      <w:r>
        <w:rPr>
          <w:rFonts w:hint="eastAsia"/>
          <w:lang w:val="en-US" w:eastAsia="zh-CN"/>
        </w:rPr>
        <w:t>7</w:t>
      </w:r>
      <w:r>
        <w:rPr>
          <w:rStyle w:val="32"/>
        </w:rPr>
        <w:t xml:space="preserve">  </w:t>
      </w:r>
      <w:r>
        <w:rPr>
          <w:rStyle w:val="32"/>
          <w:rFonts w:hint="eastAsia"/>
          <w:lang w:val="en-US" w:eastAsia="zh-CN"/>
        </w:rPr>
        <w:t>药物警戒</w:t>
      </w:r>
      <w:r>
        <w:tab/>
      </w:r>
      <w:r>
        <w:fldChar w:fldCharType="end"/>
      </w:r>
      <w:r>
        <w:rPr>
          <w:rFonts w:hint="eastAsia"/>
          <w:lang w:val="en-US" w:eastAsia="zh-CN"/>
        </w:rPr>
        <w:t>3</w:t>
      </w:r>
    </w:p>
    <w:p w14:paraId="62653074">
      <w:pPr>
        <w:pStyle w:val="19"/>
        <w:tabs>
          <w:tab w:val="right" w:leader="dot" w:pos="9344"/>
        </w:tabs>
        <w:rPr>
          <w:rFonts w:hint="default" w:eastAsia="宋体" w:asciiTheme="minorHAnsi" w:hAnsiTheme="minorHAnsi" w:cstheme="minorBidi"/>
          <w:szCs w:val="22"/>
          <w:lang w:val="en-US" w:eastAsia="zh-CN"/>
        </w:rPr>
      </w:pPr>
      <w:r>
        <w:fldChar w:fldCharType="begin"/>
      </w:r>
      <w:r>
        <w:instrText xml:space="preserve"> HYPERLINK \l "_Toc167430939" </w:instrText>
      </w:r>
      <w:r>
        <w:fldChar w:fldCharType="separate"/>
      </w:r>
      <w:r>
        <w:rPr>
          <w:rStyle w:val="32"/>
          <w:rFonts w:hint="eastAsia"/>
          <w:lang w:val="en-US" w:eastAsia="zh-CN"/>
        </w:rPr>
        <w:t>8</w:t>
      </w:r>
      <w:r>
        <w:rPr>
          <w:rStyle w:val="32"/>
        </w:rPr>
        <w:t xml:space="preserve">  </w:t>
      </w:r>
      <w:r>
        <w:rPr>
          <w:rStyle w:val="32"/>
          <w:rFonts w:hint="eastAsia"/>
          <w:lang w:eastAsia="zh-CN"/>
        </w:rPr>
        <w:t>制度</w:t>
      </w:r>
      <w:r>
        <w:rPr>
          <w:rStyle w:val="32"/>
          <w:rFonts w:hint="eastAsia"/>
          <w:lang w:val="en-US" w:eastAsia="zh-CN"/>
        </w:rPr>
        <w:t>要求</w:t>
      </w:r>
      <w:r>
        <w:tab/>
      </w:r>
      <w:r>
        <w:fldChar w:fldCharType="end"/>
      </w:r>
      <w:r>
        <w:rPr>
          <w:rFonts w:hint="eastAsia"/>
          <w:lang w:val="en-US" w:eastAsia="zh-CN"/>
        </w:rPr>
        <w:t>4</w:t>
      </w:r>
    </w:p>
    <w:p w14:paraId="25D74A16">
      <w:pPr>
        <w:pStyle w:val="19"/>
        <w:tabs>
          <w:tab w:val="right" w:leader="dot" w:pos="9344"/>
        </w:tabs>
        <w:rPr>
          <w:rFonts w:hint="default" w:eastAsia="宋体" w:asciiTheme="minorHAnsi" w:hAnsiTheme="minorHAnsi" w:cstheme="minorBidi"/>
          <w:szCs w:val="22"/>
          <w:lang w:val="en-US" w:eastAsia="zh-CN"/>
        </w:rPr>
      </w:pPr>
      <w:r>
        <w:fldChar w:fldCharType="begin"/>
      </w:r>
      <w:r>
        <w:instrText xml:space="preserve"> HYPERLINK \l "_Toc167430939" </w:instrText>
      </w:r>
      <w:r>
        <w:fldChar w:fldCharType="separate"/>
      </w:r>
      <w:r>
        <w:rPr>
          <w:rFonts w:hint="eastAsia"/>
          <w:lang w:val="en-US" w:eastAsia="zh-CN"/>
        </w:rPr>
        <w:t xml:space="preserve">9 </w:t>
      </w:r>
      <w:r>
        <w:rPr>
          <w:rStyle w:val="32"/>
        </w:rPr>
        <w:t xml:space="preserve"> </w:t>
      </w:r>
      <w:r>
        <w:rPr>
          <w:rStyle w:val="32"/>
          <w:rFonts w:hint="eastAsia"/>
          <w:lang w:eastAsia="zh-CN"/>
        </w:rPr>
        <w:t>持续改进</w:t>
      </w:r>
      <w:r>
        <w:tab/>
      </w:r>
      <w:r>
        <w:fldChar w:fldCharType="end"/>
      </w:r>
      <w:r>
        <w:rPr>
          <w:rFonts w:hint="eastAsia"/>
          <w:lang w:val="en-US" w:eastAsia="zh-CN"/>
        </w:rPr>
        <w:t>4</w:t>
      </w:r>
    </w:p>
    <w:p w14:paraId="349596BB">
      <w:pPr>
        <w:pStyle w:val="24"/>
        <w:ind w:left="0" w:leftChars="0" w:firstLine="0" w:firstLineChars="0"/>
        <w:rPr>
          <w:rFonts w:asciiTheme="minorHAnsi" w:hAnsiTheme="minorHAnsi" w:eastAsiaTheme="minorEastAsia" w:cstheme="minorBidi"/>
          <w:szCs w:val="22"/>
        </w:rPr>
      </w:pPr>
    </w:p>
    <w:p w14:paraId="5398098E">
      <w:pPr>
        <w:rPr>
          <w:rFonts w:hint="eastAsia"/>
          <w:lang w:val="en-US" w:eastAsia="zh-CN"/>
        </w:rPr>
      </w:pPr>
    </w:p>
    <w:p w14:paraId="277C8177">
      <w:pPr>
        <w:pStyle w:val="19"/>
        <w:tabs>
          <w:tab w:val="right" w:leader="dot" w:pos="9344"/>
        </w:tabs>
        <w:rPr>
          <w:rFonts w:asciiTheme="minorHAnsi" w:hAnsiTheme="minorHAnsi" w:eastAsiaTheme="minorEastAsia" w:cstheme="minorBidi"/>
          <w:szCs w:val="22"/>
        </w:rPr>
      </w:pPr>
    </w:p>
    <w:p w14:paraId="781D0A23">
      <w:pPr>
        <w:pStyle w:val="24"/>
      </w:pPr>
    </w:p>
    <w:p w14:paraId="29B84CCE">
      <w:pPr>
        <w:pStyle w:val="24"/>
        <w:ind w:left="0" w:leftChars="0" w:firstLine="0" w:firstLineChars="0"/>
        <w:rPr>
          <w:rFonts w:asciiTheme="minorHAnsi" w:hAnsiTheme="minorHAnsi" w:eastAsiaTheme="minorEastAsia" w:cstheme="minorBidi"/>
          <w:szCs w:val="22"/>
        </w:rPr>
      </w:pPr>
    </w:p>
    <w:p w14:paraId="4F917505">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5ADB18F1">
      <w:pPr>
        <w:pStyle w:val="89"/>
        <w:spacing w:before="900" w:after="468"/>
      </w:pPr>
      <w:bookmarkStart w:id="28" w:name="_Toc167430927"/>
      <w:bookmarkStart w:id="29" w:name="BookMark2"/>
      <w:r>
        <w:rPr>
          <w:spacing w:val="320"/>
        </w:rPr>
        <w:t>前</w:t>
      </w:r>
      <w:r>
        <w:t>言</w:t>
      </w:r>
      <w:bookmarkEnd w:id="22"/>
      <w:bookmarkEnd w:id="23"/>
      <w:bookmarkEnd w:id="24"/>
      <w:bookmarkEnd w:id="25"/>
      <w:bookmarkEnd w:id="26"/>
      <w:bookmarkEnd w:id="27"/>
      <w:bookmarkEnd w:id="28"/>
    </w:p>
    <w:p w14:paraId="662D0039">
      <w:pPr>
        <w:pStyle w:val="56"/>
        <w:ind w:firstLine="420"/>
      </w:pPr>
      <w:r>
        <w:rPr>
          <w:rFonts w:hint="eastAsia"/>
        </w:rPr>
        <w:t>本文件按照GB/T 1.1—2020《标准化工作导则  第1部分：标准化文件的结构和起草规则》的规定起草。</w:t>
      </w:r>
    </w:p>
    <w:p w14:paraId="36049844">
      <w:pPr>
        <w:pStyle w:val="56"/>
        <w:ind w:firstLine="420"/>
      </w:pPr>
      <w:r>
        <w:rPr>
          <w:rFonts w:hint="eastAsia"/>
          <w:szCs w:val="21"/>
        </w:rPr>
        <w:t>请注意本文件的某些内容可能涉及专利。</w:t>
      </w:r>
      <w:bookmarkStart w:id="30" w:name="_Hlk166827731"/>
      <w:r>
        <w:rPr>
          <w:rFonts w:hint="eastAsia"/>
          <w:szCs w:val="21"/>
        </w:rPr>
        <w:t>本文件的发布机构不承担识别专利的责任。</w:t>
      </w:r>
      <w:bookmarkEnd w:id="30"/>
    </w:p>
    <w:p w14:paraId="7C22527A">
      <w:pPr>
        <w:pStyle w:val="56"/>
        <w:ind w:firstLine="420"/>
      </w:pPr>
      <w:r>
        <w:rPr>
          <w:rFonts w:hint="eastAsia"/>
        </w:rPr>
        <w:t>本文件由</w:t>
      </w:r>
      <w:bookmarkStart w:id="31" w:name="_Hlk166685620"/>
      <w:r>
        <w:rPr>
          <w:rFonts w:hint="eastAsia"/>
        </w:rPr>
        <w:t>鹤壁市</w:t>
      </w:r>
      <w:r>
        <w:rPr>
          <w:rFonts w:hint="eastAsia"/>
          <w:lang w:val="en-US" w:eastAsia="zh-CN"/>
        </w:rPr>
        <w:t>农业农村</w:t>
      </w:r>
      <w:r>
        <w:rPr>
          <w:rFonts w:hint="eastAsia"/>
        </w:rPr>
        <w:t>局</w:t>
      </w:r>
      <w:bookmarkEnd w:id="31"/>
      <w:r>
        <w:rPr>
          <w:rFonts w:hint="eastAsia"/>
        </w:rPr>
        <w:t>提出并归口。</w:t>
      </w:r>
    </w:p>
    <w:p w14:paraId="2DCEA60F">
      <w:pPr>
        <w:pStyle w:val="56"/>
        <w:ind w:firstLine="420"/>
      </w:pPr>
      <w:r>
        <w:rPr>
          <w:rFonts w:hint="eastAsia"/>
        </w:rPr>
        <w:t>本文件起草单位：</w:t>
      </w:r>
      <w:r>
        <w:rPr>
          <w:rFonts w:hint="eastAsia"/>
          <w:lang w:val="en-US" w:eastAsia="zh-CN"/>
        </w:rPr>
        <w:t xml:space="preserve">              </w:t>
      </w:r>
      <w:r>
        <w:rPr>
          <w:rFonts w:hint="eastAsia"/>
        </w:rPr>
        <w:t>。</w:t>
      </w:r>
    </w:p>
    <w:p w14:paraId="13C1024B">
      <w:pPr>
        <w:pStyle w:val="56"/>
        <w:ind w:firstLine="420"/>
      </w:pPr>
      <w:r>
        <w:rPr>
          <w:rFonts w:hint="eastAsia"/>
        </w:rPr>
        <w:t>本文件主要起草人：</w:t>
      </w:r>
      <w:r>
        <w:rPr>
          <w:rFonts w:hint="eastAsia"/>
          <w:lang w:val="en-US" w:eastAsia="zh-CN"/>
        </w:rPr>
        <w:t xml:space="preserve">   </w:t>
      </w:r>
      <w:r>
        <w:rPr>
          <w:rFonts w:hint="eastAsia"/>
        </w:rPr>
        <w:t>。</w:t>
      </w:r>
    </w:p>
    <w:p w14:paraId="62EC3BF3">
      <w:pPr>
        <w:pStyle w:val="56"/>
        <w:ind w:firstLine="420"/>
      </w:pPr>
    </w:p>
    <w:p w14:paraId="7DA497ED">
      <w:pPr>
        <w:pStyle w:val="56"/>
        <w:ind w:firstLine="420"/>
      </w:pPr>
    </w:p>
    <w:p w14:paraId="2AF62C58">
      <w:pPr>
        <w:pStyle w:val="56"/>
        <w:ind w:firstLine="420"/>
      </w:pPr>
    </w:p>
    <w:p w14:paraId="68C1089E">
      <w:pPr>
        <w:pStyle w:val="56"/>
        <w:ind w:firstLine="420"/>
      </w:pPr>
    </w:p>
    <w:p w14:paraId="28F4EAB0">
      <w:pPr>
        <w:pStyle w:val="56"/>
        <w:ind w:firstLine="420"/>
      </w:pPr>
    </w:p>
    <w:p w14:paraId="5022D0AC">
      <w:pPr>
        <w:pStyle w:val="56"/>
        <w:ind w:firstLine="420"/>
      </w:pPr>
    </w:p>
    <w:p w14:paraId="20E964CF">
      <w:pPr>
        <w:pStyle w:val="56"/>
        <w:ind w:firstLine="420"/>
      </w:pPr>
    </w:p>
    <w:p w14:paraId="28474C3E">
      <w:pPr>
        <w:pStyle w:val="56"/>
        <w:ind w:firstLine="420"/>
      </w:pPr>
    </w:p>
    <w:p w14:paraId="7F101D18">
      <w:pPr>
        <w:pStyle w:val="56"/>
        <w:ind w:firstLine="420"/>
      </w:pPr>
    </w:p>
    <w:p w14:paraId="69C84C5B">
      <w:pPr>
        <w:pStyle w:val="56"/>
        <w:ind w:firstLine="420"/>
      </w:pPr>
    </w:p>
    <w:p w14:paraId="4684130B">
      <w:pPr>
        <w:pStyle w:val="56"/>
        <w:ind w:firstLine="420"/>
      </w:pPr>
    </w:p>
    <w:p w14:paraId="2CF81A83">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9"/>
    <w:p w14:paraId="5651D998">
      <w:pPr>
        <w:spacing w:line="20" w:lineRule="exact"/>
        <w:jc w:val="center"/>
        <w:rPr>
          <w:rFonts w:ascii="黑体" w:hAnsi="黑体" w:eastAsia="黑体"/>
          <w:sz w:val="32"/>
          <w:szCs w:val="32"/>
        </w:rPr>
      </w:pPr>
      <w:bookmarkStart w:id="32" w:name="BookMark4"/>
    </w:p>
    <w:p w14:paraId="1485E016">
      <w:pPr>
        <w:spacing w:line="20" w:lineRule="exact"/>
        <w:jc w:val="center"/>
        <w:rPr>
          <w:rFonts w:ascii="黑体" w:hAnsi="黑体" w:eastAsia="黑体"/>
          <w:sz w:val="32"/>
          <w:szCs w:val="32"/>
        </w:rPr>
      </w:pPr>
    </w:p>
    <w:sdt>
      <w:sdtPr>
        <w:tag w:val="NEW_STAND_NAME"/>
        <w:id w:val="595910757"/>
        <w:lock w:val="sdtLocked"/>
        <w:placeholder>
          <w:docPart w:val="8A064CA89FD149048F4080673C57F382"/>
        </w:placeholder>
      </w:sdtPr>
      <w:sdtContent>
        <w:p w14:paraId="4F9EA09C">
          <w:pPr>
            <w:pStyle w:val="177"/>
            <w:spacing w:before="312" w:beforeLines="100" w:after="686" w:afterLines="220"/>
          </w:pPr>
          <w:bookmarkStart w:id="33" w:name="NEW_STAND_NAME"/>
          <w:r>
            <w:rPr>
              <w:rFonts w:hint="eastAsia"/>
              <w:lang w:eastAsia="zh-CN"/>
            </w:rPr>
            <w:t>药品零售企业管理服务规范</w:t>
          </w:r>
        </w:p>
      </w:sdtContent>
    </w:sdt>
    <w:bookmarkEnd w:id="33"/>
    <w:p w14:paraId="12B0D86D">
      <w:pPr>
        <w:pStyle w:val="104"/>
        <w:spacing w:before="312" w:after="312"/>
      </w:pPr>
      <w:bookmarkStart w:id="34" w:name="_Toc167430928"/>
      <w:bookmarkStart w:id="35" w:name="_Toc166571324"/>
      <w:bookmarkStart w:id="36" w:name="_Toc17233333"/>
      <w:bookmarkStart w:id="37" w:name="_Toc17233325"/>
      <w:bookmarkStart w:id="38" w:name="_Toc24884218"/>
      <w:bookmarkStart w:id="39" w:name="_Toc166481951"/>
      <w:bookmarkStart w:id="40" w:name="_Toc26718930"/>
      <w:bookmarkStart w:id="41" w:name="_Toc26648465"/>
      <w:bookmarkStart w:id="42" w:name="_Toc97191423"/>
      <w:bookmarkStart w:id="43" w:name="_Toc166491087"/>
      <w:bookmarkStart w:id="44" w:name="_Toc166491043"/>
      <w:bookmarkStart w:id="45" w:name="_Toc166681192"/>
      <w:bookmarkStart w:id="46" w:name="_Toc24884211"/>
      <w:bookmarkStart w:id="47" w:name="_Toc26986530"/>
      <w:bookmarkStart w:id="48" w:name="_Toc26986771"/>
      <w:bookmarkStart w:id="49" w:name="_Toc166491109"/>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25FDDA3">
      <w:pPr>
        <w:pStyle w:val="56"/>
        <w:ind w:firstLine="420"/>
        <w:rPr>
          <w:rFonts w:hint="eastAsia" w:ascii="宋体" w:hAnsi="Times New Roman" w:eastAsia="宋体" w:cs="Times New Roman"/>
          <w:lang w:val="en-US" w:eastAsia="zh-CN"/>
        </w:rPr>
      </w:pPr>
      <w:bookmarkStart w:id="50" w:name="_Toc24884219"/>
      <w:bookmarkStart w:id="51" w:name="_Toc24884212"/>
      <w:bookmarkStart w:id="52" w:name="_Toc26648466"/>
      <w:bookmarkStart w:id="53" w:name="_Toc17233326"/>
      <w:bookmarkStart w:id="54" w:name="_Toc17233334"/>
      <w:r>
        <w:rPr>
          <w:rFonts w:hint="eastAsia" w:ascii="宋体" w:hAnsi="Times New Roman" w:eastAsia="宋体" w:cs="Times New Roman"/>
          <w:lang w:val="en-US" w:eastAsia="zh-CN"/>
        </w:rPr>
        <w:t xml:space="preserve">本文件规定了药品零售企业人员要求、设施设备条件、经营服务环境和服务标准。 </w:t>
      </w:r>
    </w:p>
    <w:p w14:paraId="7FED6EE2">
      <w:pPr>
        <w:pStyle w:val="56"/>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本文件适用于鹤壁市境内的药品零售企业。</w:t>
      </w:r>
    </w:p>
    <w:p w14:paraId="5FA2E8B4">
      <w:pPr>
        <w:pStyle w:val="104"/>
        <w:spacing w:before="312" w:after="312"/>
      </w:pPr>
      <w:bookmarkStart w:id="55" w:name="_Toc26718931"/>
      <w:bookmarkStart w:id="56" w:name="_Toc166491088"/>
      <w:bookmarkStart w:id="57" w:name="_Toc97191424"/>
      <w:bookmarkStart w:id="58" w:name="_Toc26986772"/>
      <w:bookmarkStart w:id="59" w:name="_Toc166681193"/>
      <w:bookmarkStart w:id="60" w:name="_Toc167430929"/>
      <w:bookmarkStart w:id="61" w:name="_Toc166491044"/>
      <w:bookmarkStart w:id="62" w:name="_Toc166491110"/>
      <w:bookmarkStart w:id="63" w:name="_Toc26986531"/>
      <w:bookmarkStart w:id="64" w:name="_Toc166481952"/>
      <w:bookmarkStart w:id="65" w:name="_Toc166571325"/>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25CD4FCD430743CA9221DDD8BDA4C6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5376E1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FF1E61">
      <w:pPr>
        <w:pStyle w:val="104"/>
        <w:spacing w:before="312" w:after="312"/>
      </w:pPr>
      <w:bookmarkStart w:id="66" w:name="_Toc166571326"/>
      <w:bookmarkStart w:id="67" w:name="_Toc167430930"/>
      <w:bookmarkStart w:id="68" w:name="_Toc166491045"/>
      <w:bookmarkStart w:id="69" w:name="_Toc166491089"/>
      <w:bookmarkStart w:id="70" w:name="_Toc166481953"/>
      <w:bookmarkStart w:id="71" w:name="_Toc166681194"/>
      <w:bookmarkStart w:id="72" w:name="_Toc166491111"/>
      <w:bookmarkStart w:id="73" w:name="_Toc97191425"/>
      <w:r>
        <w:rPr>
          <w:rFonts w:hint="eastAsia"/>
          <w:szCs w:val="21"/>
        </w:rPr>
        <w:t>术语和定义</w:t>
      </w:r>
      <w:bookmarkEnd w:id="66"/>
      <w:bookmarkEnd w:id="67"/>
      <w:bookmarkEnd w:id="68"/>
      <w:bookmarkEnd w:id="69"/>
      <w:bookmarkEnd w:id="70"/>
      <w:bookmarkEnd w:id="71"/>
      <w:bookmarkEnd w:id="72"/>
      <w:bookmarkEnd w:id="73"/>
    </w:p>
    <w:sdt>
      <w:sdtPr>
        <w:id w:val="-1909835108"/>
        <w:placeholder>
          <w:docPart w:val="6A02B4A4E44A4E0C8AAB7E8E54E9A5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9466111">
          <w:pPr>
            <w:pStyle w:val="56"/>
            <w:ind w:firstLine="420"/>
          </w:pPr>
          <w:bookmarkStart w:id="74" w:name="_Toc26986532"/>
          <w:bookmarkEnd w:id="74"/>
          <w:r>
            <w:t>下列术语和定义适用于本文件。</w:t>
          </w:r>
        </w:p>
      </w:sdtContent>
    </w:sdt>
    <w:p w14:paraId="79DFF873">
      <w:pPr>
        <w:pStyle w:val="105"/>
        <w:spacing w:before="156" w:after="156"/>
      </w:pPr>
      <w:bookmarkStart w:id="75" w:name="_Toc166571327"/>
      <w:bookmarkEnd w:id="75"/>
      <w:r>
        <w:rPr>
          <w:rFonts w:hint="eastAsia"/>
          <w:lang w:val="en-US" w:eastAsia="zh-CN"/>
        </w:rPr>
        <w:t>药品零售</w:t>
      </w:r>
    </w:p>
    <w:p w14:paraId="3DBCC6B6">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是指将购进的药品直接销售给消费者的药品经营企业。可分为零售连锁门店和单体药品零售企业。</w:t>
      </w:r>
    </w:p>
    <w:p w14:paraId="67295058">
      <w:pPr>
        <w:pStyle w:val="105"/>
        <w:spacing w:before="156" w:after="156"/>
      </w:pPr>
      <w:r>
        <w:rPr>
          <w:rFonts w:hint="eastAsia"/>
          <w:lang w:val="en-US" w:eastAsia="zh-CN"/>
        </w:rPr>
        <w:t>执业药师</w:t>
      </w:r>
    </w:p>
    <w:p w14:paraId="43226CDB">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取得国家《执业药师资格证书》，并经过注册登记、取得《执业药师注册证》的药学和中药学专业技术人员。</w:t>
      </w:r>
    </w:p>
    <w:p w14:paraId="5B1B332E">
      <w:pPr>
        <w:pStyle w:val="105"/>
        <w:spacing w:before="156" w:after="156"/>
      </w:pPr>
      <w:r>
        <w:rPr>
          <w:rFonts w:hint="eastAsia"/>
          <w:lang w:val="en-US" w:eastAsia="zh-CN"/>
        </w:rPr>
        <w:t>药学服务</w:t>
      </w:r>
    </w:p>
    <w:p w14:paraId="3624D1C2">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宋体" w:eastAsia="宋体" w:cs="宋体"/>
          <w:spacing w:val="15"/>
          <w:sz w:val="21"/>
          <w:szCs w:val="21"/>
          <w:lang w:val="en-US" w:eastAsia="zh-CN"/>
        </w:rPr>
      </w:pPr>
      <w:r>
        <w:rPr>
          <w:rFonts w:hint="eastAsia" w:ascii="宋体" w:hAnsi="Times New Roman" w:eastAsia="宋体" w:cs="Times New Roman"/>
          <w:kern w:val="0"/>
          <w:sz w:val="21"/>
          <w:szCs w:val="20"/>
          <w:lang w:val="en-US" w:eastAsia="zh-CN" w:bidi="ar-SA"/>
        </w:rPr>
        <w:t>药学服务是指药品零售企业的执业药师应用药学专业知识、技能和工具，向公众提供直接的、负责任的与用药相关的服务，以期提高药物治疗的安全性、有效性、经济性和适宜性的行为。</w:t>
      </w:r>
    </w:p>
    <w:p w14:paraId="407B4D72">
      <w:pPr>
        <w:pStyle w:val="104"/>
        <w:spacing w:before="312" w:after="312"/>
      </w:pPr>
      <w:bookmarkStart w:id="76" w:name="_Toc166571329"/>
      <w:bookmarkEnd w:id="76"/>
      <w:bookmarkStart w:id="77" w:name="_Toc166571331"/>
      <w:bookmarkEnd w:id="77"/>
      <w:bookmarkStart w:id="78" w:name="_Toc166491094"/>
      <w:bookmarkStart w:id="79" w:name="_Toc166491112"/>
      <w:bookmarkStart w:id="80" w:name="_Toc167430931"/>
      <w:bookmarkStart w:id="81" w:name="_Toc166491050"/>
      <w:bookmarkStart w:id="82" w:name="_Toc166681195"/>
      <w:bookmarkStart w:id="83" w:name="_Toc166571335"/>
      <w:r>
        <w:rPr>
          <w:rFonts w:hint="eastAsia" w:cs="Times New Roman"/>
          <w:lang w:val="en-US" w:eastAsia="zh-CN"/>
        </w:rPr>
        <w:t>人员要求</w:t>
      </w:r>
      <w:bookmarkEnd w:id="78"/>
      <w:bookmarkEnd w:id="79"/>
      <w:bookmarkEnd w:id="80"/>
      <w:bookmarkEnd w:id="81"/>
      <w:bookmarkEnd w:id="82"/>
      <w:bookmarkEnd w:id="83"/>
    </w:p>
    <w:p w14:paraId="64A6602A">
      <w:pPr>
        <w:pStyle w:val="105"/>
        <w:spacing w:before="156" w:after="156"/>
      </w:pPr>
      <w:bookmarkStart w:id="84" w:name="_Toc166571337"/>
      <w:bookmarkStart w:id="85" w:name="_Toc166491054"/>
      <w:bookmarkStart w:id="86" w:name="_Toc167430933"/>
      <w:bookmarkStart w:id="87" w:name="_Toc166491096"/>
      <w:r>
        <w:rPr>
          <w:rFonts w:hint="eastAsia"/>
          <w:lang w:val="en-US" w:eastAsia="zh-CN"/>
        </w:rPr>
        <w:t>职业道德</w:t>
      </w:r>
      <w:bookmarkEnd w:id="84"/>
      <w:bookmarkEnd w:id="85"/>
      <w:bookmarkEnd w:id="86"/>
      <w:bookmarkEnd w:id="87"/>
    </w:p>
    <w:p w14:paraId="3BB27EA9">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bookmarkStart w:id="88" w:name="_Toc166491055"/>
      <w:bookmarkEnd w:id="88"/>
      <w:r>
        <w:rPr>
          <w:rFonts w:hint="eastAsia" w:ascii="宋体" w:hAnsi="Times New Roman" w:eastAsia="宋体" w:cs="Times New Roman"/>
          <w:kern w:val="0"/>
          <w:sz w:val="21"/>
          <w:szCs w:val="20"/>
          <w:lang w:val="en-US" w:eastAsia="zh-CN" w:bidi="ar-SA"/>
        </w:rPr>
        <w:t>药品零售人员应遵守国家法律法规、道德准则和执业职责；维护消费者的合法权利及健康利益；维护职业荣誉和尊严，科学、严谨地为消费者提供安全、有效、经济的药品和药学服务，避免任何对职业产生信任损害的行为和疏忽；尊重和保护并不应随意泄露服务对象的隐私，并明示服务的内容、流程、方式等信息。</w:t>
      </w:r>
    </w:p>
    <w:p w14:paraId="43BEA984">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企业应当应当按照有关法律法规及本规范的要求制定质量管理文件，开展质量管理活动，确保药品质量。从事药品网络销售的，应当在网站首页或者经营活动的主页面醒目位置展示执业药师注册信息。零售药店不得要求执业药师在任何无法现场执业或判断的情况下工作，执业药师应拒绝此行为。</w:t>
      </w:r>
    </w:p>
    <w:p w14:paraId="02B0A5BE">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default" w:ascii="宋体" w:hAnsi="宋体" w:eastAsia="宋体" w:cs="宋体"/>
          <w:spacing w:val="15"/>
          <w:sz w:val="21"/>
          <w:szCs w:val="21"/>
          <w:lang w:val="en-US" w:eastAsia="zh-CN"/>
        </w:rPr>
      </w:pPr>
      <w:r>
        <w:rPr>
          <w:rFonts w:hint="eastAsia" w:ascii="宋体" w:hAnsi="Times New Roman" w:eastAsia="宋体" w:cs="Times New Roman"/>
          <w:kern w:val="0"/>
          <w:sz w:val="21"/>
          <w:szCs w:val="20"/>
          <w:lang w:val="en-US" w:eastAsia="zh-CN" w:bidi="ar-SA"/>
        </w:rPr>
        <w:t>执业药师应当利用药学工具软件、专业参考书籍、药物使用辅助教具等按照药学服务管理制度、操作规程和礼仪规范开展药学服务。执业药师可以通过计算机信息系统辅助开展处方审核及药学服务，对处方和服务对象信息及药学服务过程子以记录，做好服务对象的个人信息保护，确保相关记录真实、准确、完整、可追溯。执业药师开展在线药学服务时，应当由其本人真实开展，不得以人工智能程序替代服务。</w:t>
      </w:r>
    </w:p>
    <w:p w14:paraId="7071A56E">
      <w:pPr>
        <w:pStyle w:val="105"/>
        <w:spacing w:before="156" w:after="156"/>
        <w:rPr>
          <w:rFonts w:hint="eastAsia"/>
          <w:lang w:val="en-US" w:eastAsia="zh-CN"/>
        </w:rPr>
      </w:pPr>
      <w:r>
        <w:rPr>
          <w:rFonts w:hint="eastAsia"/>
          <w:lang w:val="en-US" w:eastAsia="zh-CN"/>
        </w:rPr>
        <w:t>专业知识</w:t>
      </w:r>
    </w:p>
    <w:p w14:paraId="2034752F">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药品零售人员应具备丰富的药品知识，包括药品的分类、作用、适应症、副作用、用法用量等方面。还需了解药品储存、有效期、质量控制等方面的知识，为顾客提供准确、可靠的建议，确保用药安全。</w:t>
      </w:r>
    </w:p>
    <w:p w14:paraId="4347F0F0">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开展药物治疗管理的药品零售企业执业药师应当接受专业培训，具备为患者提供信息收集、用药指导、评估和随访、药物调剂建议等方面的专业素质和服务能力。</w:t>
      </w:r>
    </w:p>
    <w:p w14:paraId="40EEB151">
      <w:pPr>
        <w:pStyle w:val="105"/>
        <w:spacing w:before="156" w:after="156"/>
      </w:pPr>
      <w:bookmarkStart w:id="89" w:name="_Toc166681196"/>
      <w:bookmarkStart w:id="90" w:name="_Toc166491098"/>
      <w:bookmarkStart w:id="91" w:name="_Toc166571339"/>
      <w:bookmarkStart w:id="92" w:name="_Toc166491113"/>
      <w:bookmarkStart w:id="93" w:name="_Toc167430935"/>
      <w:bookmarkStart w:id="94" w:name="_Toc166491062"/>
      <w:r>
        <w:rPr>
          <w:rFonts w:hint="eastAsia"/>
          <w:snapToGrid w:val="0"/>
          <w:color w:val="000000"/>
          <w:spacing w:val="-8"/>
          <w:kern w:val="0"/>
          <w:sz w:val="21"/>
          <w:szCs w:val="21"/>
          <w:lang w:val="en-US" w:eastAsia="zh-CN"/>
        </w:rPr>
        <w:t>沟通服务</w:t>
      </w:r>
      <w:bookmarkEnd w:id="89"/>
      <w:bookmarkEnd w:id="90"/>
      <w:bookmarkEnd w:id="91"/>
      <w:bookmarkEnd w:id="92"/>
      <w:bookmarkEnd w:id="93"/>
      <w:bookmarkEnd w:id="94"/>
    </w:p>
    <w:p w14:paraId="663A1BCC">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人员需要与顾客、医生、药师进行有效沟通，了解顾客的既往病史、现病史和过敏史等用药相关信息，了解患者对疾病和药品知识的掌握程度，指导患者正确使用药品，确认患者是否已经了解指导建议，了解患者心理状态提高用药依从性，为顾客提供更全面的用药服务。</w:t>
      </w:r>
    </w:p>
    <w:p w14:paraId="40C0863B">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人员应具备良好的服务意识，以顾客为中心，关注顾客需求，提供个性化服务。提供咨询服务时，应当认真倾听、礼貌询问、耐心回答；对于病因不明、用药后可能掩盖病情、延误治疗或加重病情，或者超出自身能力范围的问题，应当建议及时寻求医师诊疗。</w:t>
      </w:r>
    </w:p>
    <w:p w14:paraId="249D9AD8">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用药对象为儿童、老人、妊娠期与哺乳期妇女、肝肾功能不全、慢性或特殊疾病患者时，执业药师应当进行重点关注、综合判断，给予客观的指导，防止用药意外发生。</w:t>
      </w:r>
    </w:p>
    <w:p w14:paraId="1B14F875">
      <w:pPr>
        <w:pStyle w:val="105"/>
        <w:spacing w:before="156" w:after="156"/>
      </w:pPr>
      <w:r>
        <w:rPr>
          <w:rFonts w:hint="eastAsia"/>
          <w:snapToGrid w:val="0"/>
          <w:color w:val="000000"/>
          <w:spacing w:val="-8"/>
          <w:kern w:val="0"/>
          <w:sz w:val="21"/>
          <w:szCs w:val="21"/>
          <w:lang w:val="en-US" w:eastAsia="zh-CN"/>
        </w:rPr>
        <w:t>行为准则</w:t>
      </w:r>
    </w:p>
    <w:p w14:paraId="13F68632">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执业药师执业时，应佩戴标明执业药师姓名、执业资质、执业类别等内容的工作牌。提供药学服务时，不得有以下行为：</w:t>
      </w:r>
    </w:p>
    <w:p w14:paraId="2F878F72">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a.</w:t>
      </w:r>
      <w:r>
        <w:rPr>
          <w:rFonts w:hint="eastAsia" w:ascii="宋体" w:hAnsi="Times New Roman" w:eastAsia="宋体" w:cs="Times New Roman"/>
          <w:kern w:val="0"/>
          <w:sz w:val="21"/>
          <w:szCs w:val="20"/>
          <w:lang w:val="en-US" w:eastAsia="zh-CN" w:bidi="ar-SA"/>
        </w:rPr>
        <w:t>推荐或诱导购买与服务对象表述病症无关的药品；</w:t>
      </w:r>
    </w:p>
    <w:p w14:paraId="70CB36EC">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b.</w:t>
      </w:r>
      <w:r>
        <w:rPr>
          <w:rFonts w:hint="eastAsia" w:ascii="宋体" w:hAnsi="Times New Roman" w:eastAsia="宋体" w:cs="Times New Roman"/>
          <w:kern w:val="0"/>
          <w:sz w:val="21"/>
          <w:szCs w:val="20"/>
          <w:lang w:val="en-US" w:eastAsia="zh-CN" w:bidi="ar-SA"/>
        </w:rPr>
        <w:t>推荐或诱导购买超出服务对象治疗需求数量的药品；</w:t>
      </w:r>
    </w:p>
    <w:p w14:paraId="0D21CAC5">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c.</w:t>
      </w:r>
      <w:r>
        <w:rPr>
          <w:rFonts w:hint="eastAsia" w:ascii="宋体" w:hAnsi="Times New Roman" w:eastAsia="宋体" w:cs="Times New Roman"/>
          <w:kern w:val="0"/>
          <w:sz w:val="21"/>
          <w:szCs w:val="20"/>
          <w:lang w:val="en-US" w:eastAsia="zh-CN" w:bidi="ar-SA"/>
        </w:rPr>
        <w:t>进行不科学的宣传、虚假宣传、夸大宣传，欺骗误导；</w:t>
      </w:r>
    </w:p>
    <w:p w14:paraId="18D98831">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d.</w:t>
      </w:r>
      <w:r>
        <w:rPr>
          <w:rFonts w:hint="eastAsia" w:ascii="宋体" w:hAnsi="Times New Roman" w:eastAsia="宋体" w:cs="Times New Roman"/>
          <w:kern w:val="0"/>
          <w:sz w:val="21"/>
          <w:szCs w:val="20"/>
          <w:lang w:val="en-US" w:eastAsia="zh-CN" w:bidi="ar-SA"/>
        </w:rPr>
        <w:t>将非药品以药品名义介绍和推荐；</w:t>
      </w:r>
    </w:p>
    <w:p w14:paraId="579B5C83">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e.</w:t>
      </w:r>
      <w:r>
        <w:rPr>
          <w:rFonts w:hint="eastAsia" w:ascii="宋体" w:hAnsi="Times New Roman" w:eastAsia="宋体" w:cs="Times New Roman"/>
          <w:kern w:val="0"/>
          <w:sz w:val="21"/>
          <w:szCs w:val="20"/>
          <w:lang w:val="en-US" w:eastAsia="zh-CN" w:bidi="ar-SA"/>
        </w:rPr>
        <w:t>故意对可能出现的用药风险做不恰当表述或虚假承诺；</w:t>
      </w:r>
    </w:p>
    <w:p w14:paraId="4BAE1D49">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f.</w:t>
      </w:r>
      <w:r>
        <w:rPr>
          <w:rFonts w:hint="eastAsia" w:ascii="宋体" w:hAnsi="Times New Roman" w:eastAsia="宋体" w:cs="Times New Roman"/>
          <w:kern w:val="0"/>
          <w:sz w:val="21"/>
          <w:szCs w:val="20"/>
          <w:lang w:val="en-US" w:eastAsia="zh-CN" w:bidi="ar-SA"/>
        </w:rPr>
        <w:t>诱导不符合互联网医院诊疗服务范围的服务对象通过互联网医院获取处方；</w:t>
      </w:r>
    </w:p>
    <w:p w14:paraId="635BB593">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g.</w:t>
      </w:r>
      <w:r>
        <w:rPr>
          <w:rFonts w:hint="eastAsia" w:ascii="宋体" w:hAnsi="Times New Roman" w:eastAsia="宋体" w:cs="Times New Roman"/>
          <w:kern w:val="0"/>
          <w:sz w:val="21"/>
          <w:szCs w:val="20"/>
          <w:lang w:val="en-US" w:eastAsia="zh-CN" w:bidi="ar-SA"/>
        </w:rPr>
        <w:t>其他法律法规规定的禁止行为。</w:t>
      </w:r>
    </w:p>
    <w:p w14:paraId="3A4193C2">
      <w:pPr>
        <w:pStyle w:val="104"/>
        <w:spacing w:before="312" w:after="312"/>
      </w:pPr>
      <w:bookmarkStart w:id="95" w:name="_Toc166491114"/>
      <w:bookmarkStart w:id="96" w:name="_Toc166571343"/>
      <w:bookmarkStart w:id="97" w:name="_Toc166681197"/>
      <w:bookmarkStart w:id="98" w:name="_Toc166491102"/>
      <w:bookmarkStart w:id="99" w:name="_Toc166491074"/>
      <w:bookmarkStart w:id="100" w:name="_Toc167430939"/>
      <w:r>
        <w:rPr>
          <w:rFonts w:hint="eastAsia"/>
          <w:lang w:val="en-US" w:eastAsia="zh-CN"/>
        </w:rPr>
        <w:t>设施条件</w:t>
      </w:r>
      <w:bookmarkEnd w:id="95"/>
      <w:bookmarkEnd w:id="96"/>
      <w:bookmarkEnd w:id="97"/>
      <w:bookmarkEnd w:id="98"/>
      <w:bookmarkEnd w:id="99"/>
      <w:bookmarkEnd w:id="100"/>
    </w:p>
    <w:p w14:paraId="2EF83BD9">
      <w:pPr>
        <w:pStyle w:val="105"/>
        <w:spacing w:before="156" w:after="156"/>
      </w:pPr>
      <w:bookmarkStart w:id="101" w:name="_Toc166571344"/>
      <w:bookmarkStart w:id="102" w:name="_Toc166491103"/>
      <w:bookmarkStart w:id="103" w:name="_Toc166491075"/>
      <w:bookmarkStart w:id="104" w:name="_Toc167430940"/>
      <w:r>
        <w:rPr>
          <w:rFonts w:hint="eastAsia"/>
          <w:snapToGrid w:val="0"/>
          <w:color w:val="000000"/>
          <w:spacing w:val="-8"/>
          <w:kern w:val="0"/>
          <w:sz w:val="21"/>
          <w:szCs w:val="21"/>
          <w:lang w:val="en-US" w:eastAsia="zh-CN"/>
        </w:rPr>
        <w:t>仓储</w:t>
      </w:r>
      <w:bookmarkEnd w:id="101"/>
      <w:bookmarkEnd w:id="102"/>
      <w:bookmarkEnd w:id="103"/>
      <w:bookmarkEnd w:id="104"/>
      <w:r>
        <w:rPr>
          <w:rFonts w:hint="eastAsia"/>
          <w:snapToGrid w:val="0"/>
          <w:color w:val="000000"/>
          <w:spacing w:val="-8"/>
          <w:kern w:val="0"/>
          <w:sz w:val="21"/>
          <w:szCs w:val="21"/>
          <w:lang w:val="en-US" w:eastAsia="zh-CN"/>
        </w:rPr>
        <w:t>设施</w:t>
      </w:r>
    </w:p>
    <w:p w14:paraId="0B314BFD">
      <w:pPr>
        <w:pStyle w:val="65"/>
        <w:spacing w:before="156" w:after="156"/>
        <w:rPr>
          <w:rFonts w:hint="eastAsia" w:ascii="宋体" w:hAnsi="Times New Roman" w:eastAsia="宋体" w:cs="Times New Roman"/>
          <w:kern w:val="0"/>
          <w:sz w:val="21"/>
          <w:szCs w:val="20"/>
          <w:lang w:val="en-US" w:eastAsia="zh-CN" w:bidi="ar-SA"/>
        </w:rPr>
      </w:pPr>
      <w:bookmarkStart w:id="105" w:name="_Toc166491083"/>
      <w:r>
        <w:rPr>
          <w:rFonts w:hint="eastAsia" w:ascii="宋体" w:hAnsi="Times New Roman" w:eastAsia="宋体" w:cs="Times New Roman"/>
          <w:kern w:val="0"/>
          <w:sz w:val="21"/>
          <w:szCs w:val="20"/>
          <w:lang w:val="en-US" w:eastAsia="zh-CN" w:bidi="ar-SA"/>
        </w:rPr>
        <w:t>药品储存需具备足够的空间，确保药品分类存放，避免混淆和污染。</w:t>
      </w:r>
      <w:bookmarkEnd w:id="105"/>
    </w:p>
    <w:p w14:paraId="1407C3F3">
      <w:pPr>
        <w:pStyle w:val="65"/>
        <w:spacing w:before="156" w:after="156"/>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仓库需保持干燥、通风、整洁，温度和湿度应符合药品储存要求。</w:t>
      </w:r>
    </w:p>
    <w:p w14:paraId="01FF59F7">
      <w:pPr>
        <w:pStyle w:val="65"/>
        <w:spacing w:before="156" w:after="156"/>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冷链药品应设置专用储存区，确保储存条件满足冷链药品的要求</w:t>
      </w:r>
      <w:r>
        <w:rPr>
          <w:rFonts w:hint="eastAsia" w:ascii="宋体" w:hAnsi="宋体" w:eastAsia="宋体" w:cs="宋体"/>
          <w:spacing w:val="15"/>
          <w:sz w:val="21"/>
          <w:szCs w:val="21"/>
          <w:lang w:val="en-US" w:eastAsia="zh-CN"/>
        </w:rPr>
        <w:t>。</w:t>
      </w:r>
    </w:p>
    <w:p w14:paraId="6D4275F9">
      <w:pPr>
        <w:pStyle w:val="65"/>
        <w:spacing w:before="156" w:after="156"/>
        <w:rPr>
          <w:rFonts w:hint="eastAsia"/>
          <w:lang w:val="en-US" w:eastAsia="zh-CN"/>
        </w:rPr>
      </w:pPr>
      <w:r>
        <w:rPr>
          <w:rFonts w:hint="eastAsia" w:ascii="宋体" w:hAnsi="Times New Roman" w:eastAsia="宋体" w:cs="Times New Roman"/>
          <w:kern w:val="0"/>
          <w:sz w:val="21"/>
          <w:szCs w:val="20"/>
          <w:lang w:val="en-US" w:eastAsia="zh-CN" w:bidi="ar-SA"/>
        </w:rPr>
        <w:t>仓库内安装防火、防盗、防潮、防虫等设施，确保药品安全。</w:t>
      </w:r>
    </w:p>
    <w:p w14:paraId="5D8A14F9">
      <w:pPr>
        <w:pStyle w:val="105"/>
        <w:spacing w:before="156" w:after="156"/>
      </w:pPr>
      <w:r>
        <w:rPr>
          <w:rFonts w:hint="eastAsia"/>
          <w:snapToGrid w:val="0"/>
          <w:color w:val="000000"/>
          <w:spacing w:val="-8"/>
          <w:kern w:val="0"/>
          <w:sz w:val="21"/>
          <w:szCs w:val="21"/>
          <w:lang w:val="en-US" w:eastAsia="zh-CN"/>
        </w:rPr>
        <w:t>陈列设施</w:t>
      </w:r>
    </w:p>
    <w:p w14:paraId="170DCE12">
      <w:pPr>
        <w:pStyle w:val="65"/>
        <w:spacing w:before="156" w:after="156"/>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货架陈列整齐、分类清晰，便于顾客选购。</w:t>
      </w:r>
    </w:p>
    <w:p w14:paraId="735A0B23">
      <w:pPr>
        <w:pStyle w:val="65"/>
        <w:spacing w:before="156" w:after="156"/>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药品与地面保持一定距离，避免潮湿和污染。</w:t>
      </w:r>
    </w:p>
    <w:p w14:paraId="551A1EC5">
      <w:pPr>
        <w:pStyle w:val="65"/>
        <w:spacing w:before="156" w:after="156"/>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药品标签齐全、清晰，便于顾客识别。</w:t>
      </w:r>
    </w:p>
    <w:p w14:paraId="18687409">
      <w:pPr>
        <w:pStyle w:val="65"/>
        <w:spacing w:before="156" w:after="156"/>
        <w:rPr>
          <w:rFonts w:hint="eastAsia"/>
          <w:lang w:val="en-US" w:eastAsia="zh-CN"/>
        </w:rPr>
      </w:pPr>
      <w:r>
        <w:rPr>
          <w:rFonts w:hint="eastAsia" w:ascii="宋体" w:hAnsi="Times New Roman" w:eastAsia="宋体" w:cs="Times New Roman"/>
          <w:kern w:val="0"/>
          <w:sz w:val="21"/>
          <w:szCs w:val="20"/>
          <w:lang w:val="en-US" w:eastAsia="zh-CN" w:bidi="ar-SA"/>
        </w:rPr>
        <w:t>店内设置顾客咨询区，提供药品信息咨询服务。</w:t>
      </w:r>
    </w:p>
    <w:p w14:paraId="4B7FD6D1">
      <w:pPr>
        <w:pStyle w:val="105"/>
        <w:spacing w:before="156" w:after="156"/>
      </w:pPr>
      <w:bookmarkStart w:id="106" w:name="_Toc166491078"/>
      <w:bookmarkStart w:id="107" w:name="_Toc167430941"/>
      <w:bookmarkStart w:id="108" w:name="_Toc166491104"/>
      <w:bookmarkStart w:id="109" w:name="_Toc166571345"/>
      <w:r>
        <w:rPr>
          <w:rFonts w:hint="eastAsia"/>
          <w:lang w:val="en-US" w:eastAsia="zh-CN"/>
        </w:rPr>
        <w:t>养护设施</w:t>
      </w:r>
      <w:bookmarkEnd w:id="106"/>
      <w:bookmarkEnd w:id="107"/>
      <w:bookmarkEnd w:id="108"/>
      <w:bookmarkEnd w:id="109"/>
    </w:p>
    <w:p w14:paraId="4F4BA41F">
      <w:pPr>
        <w:pStyle w:val="65"/>
        <w:spacing w:before="156" w:after="156"/>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建立药品养护制度，定期检查药品质量，发现问题及时处理。</w:t>
      </w:r>
    </w:p>
    <w:p w14:paraId="3B36297A">
      <w:pPr>
        <w:pStyle w:val="65"/>
        <w:spacing w:before="156" w:after="156"/>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设有药品质量验收区，确保药品进货质量。</w:t>
      </w:r>
    </w:p>
    <w:p w14:paraId="40BE6F70">
      <w:pPr>
        <w:pStyle w:val="65"/>
        <w:spacing w:before="156" w:after="156"/>
        <w:rPr>
          <w:rFonts w:hint="default" w:ascii="宋体" w:hAnsi="Times New Roman" w:eastAsia="宋体" w:cs="Times New Roman"/>
          <w:kern w:val="0"/>
          <w:sz w:val="21"/>
          <w:szCs w:val="20"/>
          <w:lang w:val="en-US" w:eastAsia="en-US" w:bidi="ar-SA"/>
        </w:rPr>
      </w:pPr>
      <w:r>
        <w:rPr>
          <w:rFonts w:hint="eastAsia" w:ascii="宋体" w:hAnsi="Times New Roman" w:eastAsia="宋体" w:cs="Times New Roman"/>
          <w:kern w:val="0"/>
          <w:sz w:val="21"/>
          <w:szCs w:val="20"/>
          <w:lang w:val="en-US" w:eastAsia="zh-CN" w:bidi="ar-SA"/>
        </w:rPr>
        <w:t>药品养护人员具备相关专业知识和技能，确保药品质量安全。</w:t>
      </w:r>
      <w:bookmarkStart w:id="110" w:name="_Toc167430942"/>
      <w:bookmarkStart w:id="111" w:name="_Toc166491082"/>
      <w:bookmarkStart w:id="112" w:name="_Toc166491105"/>
      <w:bookmarkStart w:id="113" w:name="_Toc166571346"/>
    </w:p>
    <w:p w14:paraId="6278F310">
      <w:pPr>
        <w:pStyle w:val="105"/>
        <w:spacing w:before="156" w:after="156"/>
      </w:pPr>
      <w:r>
        <w:rPr>
          <w:rFonts w:hint="eastAsia"/>
          <w:lang w:val="en-US" w:eastAsia="zh-CN"/>
        </w:rPr>
        <w:t>信息化设施</w:t>
      </w:r>
    </w:p>
    <w:p w14:paraId="243E00CF">
      <w:pPr>
        <w:pStyle w:val="65"/>
        <w:spacing w:before="156" w:after="156"/>
        <w:rPr>
          <w:rFonts w:hint="default"/>
          <w:lang w:val="en-US" w:eastAsia="en-US"/>
        </w:rPr>
      </w:pPr>
      <w:r>
        <w:rPr>
          <w:rFonts w:hint="eastAsia" w:ascii="宋体" w:hAnsi="Times New Roman" w:eastAsia="宋体" w:cs="Times New Roman"/>
          <w:kern w:val="0"/>
          <w:sz w:val="21"/>
          <w:szCs w:val="20"/>
          <w:lang w:val="en-US" w:eastAsia="zh-CN" w:bidi="ar-SA"/>
        </w:rPr>
        <w:t>建立药品重点品种信息化追溯系统，通过赋码和扫码推进“一物一码、物码同追”，实现药品重点品种生产、流通和使用全过程来源可查、去向可追。</w:t>
      </w:r>
    </w:p>
    <w:p w14:paraId="1297368F">
      <w:pPr>
        <w:pStyle w:val="65"/>
        <w:spacing w:before="156" w:after="156"/>
      </w:pPr>
      <w:r>
        <w:rPr>
          <w:rFonts w:hint="eastAsia" w:ascii="宋体" w:hAnsi="Times New Roman" w:eastAsia="宋体" w:cs="Times New Roman"/>
          <w:kern w:val="0"/>
          <w:sz w:val="21"/>
          <w:szCs w:val="20"/>
          <w:lang w:val="en-US" w:eastAsia="zh-CN" w:bidi="ar-SA"/>
        </w:rPr>
        <w:t>使用药品销售管理系统，以电脑系统台账代替目前的手工纸质质量管理台账，所有数据信息需初始化进入电脑台账。</w:t>
      </w:r>
    </w:p>
    <w:p w14:paraId="11AD1D2B">
      <w:pPr>
        <w:pStyle w:val="65"/>
        <w:spacing w:before="156" w:after="156"/>
        <w:rPr>
          <w:rFonts w:hint="default"/>
          <w:lang w:val="en-US" w:eastAsia="en-US"/>
        </w:rPr>
      </w:pPr>
      <w:r>
        <w:rPr>
          <w:rFonts w:hint="eastAsia" w:ascii="宋体" w:hAnsi="Times New Roman" w:eastAsia="宋体" w:cs="Times New Roman"/>
          <w:kern w:val="0"/>
          <w:sz w:val="21"/>
          <w:szCs w:val="20"/>
          <w:lang w:val="en-US" w:eastAsia="zh-CN" w:bidi="ar-SA"/>
        </w:rPr>
        <w:t>确定专人负责系统维护，并按时、如实录入数据信息，保证营业时间内数据上网，确保系统的正常运行与数据信息的准确性。</w:t>
      </w:r>
    </w:p>
    <w:p w14:paraId="38B8435E">
      <w:pPr>
        <w:pStyle w:val="65"/>
        <w:spacing w:before="156" w:after="156"/>
      </w:pPr>
      <w:r>
        <w:rPr>
          <w:rFonts w:hint="eastAsia" w:ascii="宋体" w:hAnsi="Times New Roman" w:eastAsia="宋体" w:cs="Times New Roman"/>
          <w:kern w:val="0"/>
          <w:sz w:val="21"/>
          <w:szCs w:val="20"/>
          <w:lang w:val="en-US" w:eastAsia="zh-CN" w:bidi="ar-SA"/>
        </w:rPr>
        <w:t>医保定点零售药店应在医保刷卡收银区、取药区、进出通道等关键位置配备视频监控设施，实现全天候监管。</w:t>
      </w:r>
    </w:p>
    <w:p w14:paraId="1AAC14B8">
      <w:pPr>
        <w:pStyle w:val="104"/>
        <w:spacing w:before="312" w:after="312"/>
      </w:pPr>
      <w:r>
        <w:rPr>
          <w:rFonts w:hint="eastAsia"/>
          <w:lang w:val="en-US" w:eastAsia="zh-CN"/>
        </w:rPr>
        <w:t>环境要求</w:t>
      </w:r>
    </w:p>
    <w:p w14:paraId="4B748762">
      <w:pPr>
        <w:pStyle w:val="65"/>
        <w:numPr>
          <w:ilvl w:val="3"/>
          <w:numId w:val="0"/>
        </w:numPr>
        <w:spacing w:before="156" w:after="156"/>
        <w:ind w:leftChars="0" w:firstLine="210" w:firstLineChars="1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药品零售企业应具备整洁、明亮、通风良好的经营场所，占地面积应符合相关规定。场所内应设置明显的药品分类区域，如处方药区、非处方药区、中药区等。</w:t>
      </w:r>
    </w:p>
    <w:p w14:paraId="7E7E3F63">
      <w:pPr>
        <w:pStyle w:val="65"/>
        <w:numPr>
          <w:ilvl w:val="3"/>
          <w:numId w:val="0"/>
        </w:numPr>
        <w:spacing w:before="156" w:after="156"/>
        <w:ind w:leftChars="0" w:firstLine="210" w:firstLineChars="1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药品零售企业应配备必要的设施和设备，如药品陈列柜、阴凉柜、空调、电脑等。同时，应具备良好的照明、消防、安全监控等设施。</w:t>
      </w:r>
    </w:p>
    <w:p w14:paraId="5F5CF82D">
      <w:pPr>
        <w:pStyle w:val="65"/>
        <w:numPr>
          <w:ilvl w:val="3"/>
          <w:numId w:val="0"/>
        </w:numPr>
        <w:spacing w:before="156" w:after="156"/>
        <w:ind w:leftChars="0" w:firstLine="210" w:firstLineChars="100"/>
        <w:rPr>
          <w:rFonts w:hint="eastAsia" w:ascii="宋体" w:hAnsi="宋体" w:eastAsia="宋体" w:cs="宋体"/>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药品零售企业应</w:t>
      </w:r>
      <w:r>
        <w:rPr>
          <w:rFonts w:hint="eastAsia" w:ascii="宋体" w:eastAsia="宋体" w:cs="Times New Roman"/>
          <w:kern w:val="0"/>
          <w:sz w:val="21"/>
          <w:szCs w:val="20"/>
          <w:lang w:val="en-US" w:eastAsia="zh-CN" w:bidi="ar-SA"/>
        </w:rPr>
        <w:t>对营业场所温度进行监测和调控，以使营业场所温度符合常温要求。储存药品相对湿度为35%</w:t>
      </w:r>
      <w:r>
        <w:rPr>
          <w:rFonts w:hint="eastAsia" w:ascii="宋体" w:hAnsi="宋体" w:eastAsia="宋体" w:cs="宋体"/>
          <w:kern w:val="0"/>
          <w:sz w:val="21"/>
          <w:szCs w:val="20"/>
          <w:lang w:val="en-US" w:eastAsia="zh-CN" w:bidi="ar-SA"/>
        </w:rPr>
        <w:t>～75%。</w:t>
      </w:r>
    </w:p>
    <w:p w14:paraId="0307C28A">
      <w:pPr>
        <w:pStyle w:val="104"/>
        <w:spacing w:before="312" w:after="312"/>
      </w:pPr>
      <w:r>
        <w:rPr>
          <w:rFonts w:hint="eastAsia"/>
          <w:lang w:val="en-US" w:eastAsia="zh-CN"/>
        </w:rPr>
        <w:t>药物警戒</w:t>
      </w:r>
    </w:p>
    <w:p w14:paraId="393EC1AF">
      <w:pPr>
        <w:pStyle w:val="56"/>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药品零售企业</w:t>
      </w:r>
      <w:r>
        <w:rPr>
          <w:rFonts w:hint="eastAsia" w:cs="Times New Roman"/>
          <w:kern w:val="0"/>
          <w:sz w:val="21"/>
          <w:szCs w:val="20"/>
          <w:lang w:val="en-US" w:eastAsia="zh-CN" w:bidi="ar-SA"/>
        </w:rPr>
        <w:t>是药品药物警戒的重要环节之一，应坚持通过随访对患者治疗后的不良反应进行长期跟踪监测，鼓励药品零售企业与医疗机构协同开展药物警戒活动。药品零售企业应接受药品不良反应事件识别与安全性信息报告的培训，在获知不良反应信息后应按照要求规定及时报告。</w:t>
      </w:r>
    </w:p>
    <w:p w14:paraId="48486F19">
      <w:pPr>
        <w:pStyle w:val="56"/>
        <w:rPr>
          <w:rFonts w:hint="default"/>
          <w:lang w:val="en-US" w:eastAsia="zh-CN"/>
        </w:rPr>
      </w:pPr>
    </w:p>
    <w:p w14:paraId="47CD05EA">
      <w:pPr>
        <w:pStyle w:val="104"/>
        <w:spacing w:before="312" w:after="312"/>
      </w:pPr>
      <w:r>
        <w:rPr>
          <w:rFonts w:hint="eastAsia"/>
          <w:lang w:val="en-US" w:eastAsia="zh-CN"/>
        </w:rPr>
        <w:t>制度要求</w:t>
      </w:r>
    </w:p>
    <w:p w14:paraId="662F7EC0">
      <w:pPr>
        <w:pStyle w:val="65"/>
        <w:numPr>
          <w:ilvl w:val="3"/>
          <w:numId w:val="0"/>
        </w:numPr>
        <w:spacing w:before="156" w:after="156"/>
        <w:ind w:leftChars="0" w:firstLine="210" w:firstLineChars="100"/>
        <w:rPr>
          <w:rFonts w:hint="eastAsia" w:ascii="宋体"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药品零售企业</w:t>
      </w:r>
      <w:r>
        <w:rPr>
          <w:rFonts w:hint="eastAsia" w:ascii="宋体" w:eastAsia="宋体" w:cs="Times New Roman"/>
          <w:kern w:val="0"/>
          <w:sz w:val="21"/>
          <w:szCs w:val="20"/>
          <w:lang w:val="en-US" w:eastAsia="zh-CN" w:bidi="ar-SA"/>
        </w:rPr>
        <w:t>宜建立但不限于以下管理制度：</w:t>
      </w:r>
    </w:p>
    <w:p w14:paraId="454F429D">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a.药品进货和验收质量管理制度</w:t>
      </w:r>
      <w:r>
        <w:rPr>
          <w:rFonts w:hint="eastAsia" w:ascii="宋体" w:hAnsi="Times New Roman" w:eastAsia="宋体" w:cs="Times New Roman"/>
          <w:kern w:val="0"/>
          <w:sz w:val="21"/>
          <w:szCs w:val="20"/>
          <w:lang w:val="en-US" w:eastAsia="zh-CN" w:bidi="ar-SA"/>
        </w:rPr>
        <w:t>；</w:t>
      </w:r>
    </w:p>
    <w:p w14:paraId="55538DCC">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b.药品陈列管理制度</w:t>
      </w:r>
      <w:r>
        <w:rPr>
          <w:rFonts w:hint="eastAsia" w:ascii="宋体" w:hAnsi="Times New Roman" w:eastAsia="宋体" w:cs="Times New Roman"/>
          <w:kern w:val="0"/>
          <w:sz w:val="21"/>
          <w:szCs w:val="20"/>
          <w:lang w:val="en-US" w:eastAsia="zh-CN" w:bidi="ar-SA"/>
        </w:rPr>
        <w:t>；</w:t>
      </w:r>
    </w:p>
    <w:p w14:paraId="59625353">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c.药品销售及处方调配管理制度</w:t>
      </w:r>
      <w:r>
        <w:rPr>
          <w:rFonts w:hint="eastAsia" w:ascii="宋体" w:hAnsi="Times New Roman" w:eastAsia="宋体" w:cs="Times New Roman"/>
          <w:kern w:val="0"/>
          <w:sz w:val="21"/>
          <w:szCs w:val="20"/>
          <w:lang w:val="en-US" w:eastAsia="zh-CN" w:bidi="ar-SA"/>
        </w:rPr>
        <w:t>；</w:t>
      </w:r>
    </w:p>
    <w:p w14:paraId="4218A1D1">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d.拆零药品管理制度</w:t>
      </w:r>
      <w:r>
        <w:rPr>
          <w:rFonts w:hint="eastAsia" w:ascii="宋体" w:hAnsi="Times New Roman" w:eastAsia="宋体" w:cs="Times New Roman"/>
          <w:kern w:val="0"/>
          <w:sz w:val="21"/>
          <w:szCs w:val="20"/>
          <w:lang w:val="en-US" w:eastAsia="zh-CN" w:bidi="ar-SA"/>
        </w:rPr>
        <w:t>；</w:t>
      </w:r>
    </w:p>
    <w:p w14:paraId="07094474">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e.药品不良反应报告制度</w:t>
      </w:r>
      <w:r>
        <w:rPr>
          <w:rFonts w:hint="eastAsia" w:ascii="宋体" w:hAnsi="Times New Roman" w:eastAsia="宋体" w:cs="Times New Roman"/>
          <w:kern w:val="0"/>
          <w:sz w:val="21"/>
          <w:szCs w:val="20"/>
          <w:lang w:val="en-US" w:eastAsia="zh-CN" w:bidi="ar-SA"/>
        </w:rPr>
        <w:t>；</w:t>
      </w:r>
    </w:p>
    <w:p w14:paraId="3819BD50">
      <w:pPr>
        <w:keepNext w:val="0"/>
        <w:keepLines w:val="0"/>
        <w:pageBreakBefore w:val="0"/>
        <w:widowControl w:val="0"/>
        <w:kinsoku/>
        <w:wordWrap/>
        <w:overflowPunct/>
        <w:topLinePunct w:val="0"/>
        <w:autoSpaceDE/>
        <w:autoSpaceDN/>
        <w:bidi w:val="0"/>
        <w:adjustRightInd/>
        <w:snapToGrid/>
        <w:spacing w:before="62" w:line="264" w:lineRule="auto"/>
        <w:ind w:right="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f.不合格药品管理制度</w:t>
      </w:r>
      <w:r>
        <w:rPr>
          <w:rFonts w:hint="eastAsia" w:ascii="宋体" w:hAnsi="Times New Roman" w:eastAsia="宋体" w:cs="Times New Roman"/>
          <w:kern w:val="0"/>
          <w:sz w:val="21"/>
          <w:szCs w:val="20"/>
          <w:lang w:val="en-US" w:eastAsia="zh-CN" w:bidi="ar-SA"/>
        </w:rPr>
        <w:t>；</w:t>
      </w:r>
    </w:p>
    <w:p w14:paraId="68D4D6E9">
      <w:pPr>
        <w:pStyle w:val="56"/>
        <w:rPr>
          <w:rFonts w:hint="default"/>
          <w:lang w:val="en-US" w:eastAsia="zh-CN"/>
        </w:rPr>
      </w:pPr>
      <w:r>
        <w:rPr>
          <w:rFonts w:hint="eastAsia" w:ascii="宋体" w:hAnsi="Times New Roman" w:cs="Times New Roman"/>
          <w:kern w:val="0"/>
          <w:sz w:val="21"/>
          <w:szCs w:val="20"/>
          <w:lang w:val="en-US" w:eastAsia="zh-CN" w:bidi="ar-SA"/>
        </w:rPr>
        <w:t>g.</w:t>
      </w:r>
      <w:r>
        <w:rPr>
          <w:rFonts w:hint="eastAsia" w:cs="Times New Roman"/>
          <w:kern w:val="0"/>
          <w:sz w:val="21"/>
          <w:szCs w:val="20"/>
          <w:lang w:val="en-US" w:eastAsia="zh-CN" w:bidi="ar-SA"/>
        </w:rPr>
        <w:t>质量管理工作检查考核制度</w:t>
      </w:r>
    </w:p>
    <w:p w14:paraId="37DE0998">
      <w:pPr>
        <w:pStyle w:val="104"/>
        <w:spacing w:before="312" w:after="312"/>
      </w:pPr>
      <w:r>
        <w:rPr>
          <w:rFonts w:hint="eastAsia"/>
          <w:lang w:val="en-US" w:eastAsia="zh-CN"/>
        </w:rPr>
        <w:t>持续改进</w:t>
      </w:r>
    </w:p>
    <w:p w14:paraId="07CE3E53">
      <w:pPr>
        <w:pStyle w:val="65"/>
        <w:numPr>
          <w:ilvl w:val="3"/>
          <w:numId w:val="0"/>
        </w:numPr>
        <w:spacing w:before="156" w:after="156"/>
        <w:ind w:leftChars="0" w:firstLine="210" w:firstLineChars="100"/>
        <w:rPr>
          <w:rFonts w:hint="eastAsia" w:ascii="宋体"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药品零售企业应</w:t>
      </w:r>
      <w:bookmarkEnd w:id="32"/>
      <w:bookmarkEnd w:id="110"/>
      <w:bookmarkEnd w:id="111"/>
      <w:bookmarkEnd w:id="112"/>
      <w:bookmarkEnd w:id="113"/>
      <w:r>
        <w:rPr>
          <w:rFonts w:hint="eastAsia" w:ascii="宋体" w:eastAsia="宋体" w:cs="Times New Roman"/>
          <w:kern w:val="0"/>
          <w:sz w:val="21"/>
          <w:szCs w:val="20"/>
          <w:lang w:val="en-US" w:eastAsia="zh-CN" w:bidi="ar-SA"/>
        </w:rPr>
        <w:t>不断优化经营服务流程，提高服务质量，通过顾客满意度调查、企业内部培训等方式，持续改进管理水平。</w:t>
      </w:r>
    </w:p>
    <w:p w14:paraId="7ABBB7F0">
      <w:pPr>
        <w:pStyle w:val="56"/>
        <w:jc w:val="center"/>
        <w:rPr>
          <w:rFonts w:hint="default"/>
          <w:lang w:val="en-US" w:eastAsia="zh-CN"/>
        </w:rPr>
      </w:pPr>
      <w:bookmarkStart w:id="114" w:name="BookMark8"/>
      <w:r>
        <w:rPr>
          <w:rFonts w:hint="eastAsia"/>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4"/>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215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1D1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5263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9C51">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FCB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8A84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31F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E9A0">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3D6E">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iTmVqoj7QP/xnGdai/QXYlt3Twb43bnPpQCFMAhnvqaMRv2FP+SzuaFKp9fZglQ6ANsQvqdhvq0Zj6RP5wYB1w==" w:salt="Pmjn3PrUSuLVkZFkyIZhG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xNTU1OGFhYzc0NTlhMWRlY2M3ZWIyYjRhYmJlMjgifQ=="/>
  </w:docVars>
  <w:rsids>
    <w:rsidRoot w:val="00AB231D"/>
    <w:rsid w:val="0000040A"/>
    <w:rsid w:val="00000A94"/>
    <w:rsid w:val="00001972"/>
    <w:rsid w:val="00001D9A"/>
    <w:rsid w:val="000051C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B1A"/>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AC2"/>
    <w:rsid w:val="000A7311"/>
    <w:rsid w:val="000B060F"/>
    <w:rsid w:val="000B1592"/>
    <w:rsid w:val="000B1FF2"/>
    <w:rsid w:val="000B2346"/>
    <w:rsid w:val="000B3CDA"/>
    <w:rsid w:val="000B6A0B"/>
    <w:rsid w:val="000C0F6C"/>
    <w:rsid w:val="000C11DB"/>
    <w:rsid w:val="000C1492"/>
    <w:rsid w:val="000C2FBD"/>
    <w:rsid w:val="000C390A"/>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5E8"/>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85E"/>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12"/>
    <w:rsid w:val="003B60BF"/>
    <w:rsid w:val="003B6BE3"/>
    <w:rsid w:val="003C010C"/>
    <w:rsid w:val="003C0A6C"/>
    <w:rsid w:val="003C14F8"/>
    <w:rsid w:val="003C5A43"/>
    <w:rsid w:val="003D0519"/>
    <w:rsid w:val="003D0FF6"/>
    <w:rsid w:val="003D262C"/>
    <w:rsid w:val="003D6D61"/>
    <w:rsid w:val="003D7336"/>
    <w:rsid w:val="003D79C6"/>
    <w:rsid w:val="003E091D"/>
    <w:rsid w:val="003E1C53"/>
    <w:rsid w:val="003E2A69"/>
    <w:rsid w:val="003E2D49"/>
    <w:rsid w:val="003E2FD4"/>
    <w:rsid w:val="003E49F6"/>
    <w:rsid w:val="003E660F"/>
    <w:rsid w:val="003F0841"/>
    <w:rsid w:val="003F23D3"/>
    <w:rsid w:val="003F3F08"/>
    <w:rsid w:val="003F49F1"/>
    <w:rsid w:val="003F4D65"/>
    <w:rsid w:val="003F6272"/>
    <w:rsid w:val="00400E72"/>
    <w:rsid w:val="00401400"/>
    <w:rsid w:val="00404869"/>
    <w:rsid w:val="00405884"/>
    <w:rsid w:val="00407D39"/>
    <w:rsid w:val="00412733"/>
    <w:rsid w:val="0041477A"/>
    <w:rsid w:val="004167A3"/>
    <w:rsid w:val="00417A9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B46"/>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792"/>
    <w:rsid w:val="0053585F"/>
    <w:rsid w:val="00535EC4"/>
    <w:rsid w:val="00535ED9"/>
    <w:rsid w:val="0053692B"/>
    <w:rsid w:val="00541853"/>
    <w:rsid w:val="00543BDA"/>
    <w:rsid w:val="005441CC"/>
    <w:rsid w:val="005479DA"/>
    <w:rsid w:val="00547BCC"/>
    <w:rsid w:val="0055013B"/>
    <w:rsid w:val="005509C2"/>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D26"/>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469"/>
    <w:rsid w:val="006770F4"/>
    <w:rsid w:val="00677A84"/>
    <w:rsid w:val="0068026D"/>
    <w:rsid w:val="00680A27"/>
    <w:rsid w:val="006816A4"/>
    <w:rsid w:val="006819B8"/>
    <w:rsid w:val="006840A6"/>
    <w:rsid w:val="00684ADC"/>
    <w:rsid w:val="006850CD"/>
    <w:rsid w:val="00685AAB"/>
    <w:rsid w:val="006868E0"/>
    <w:rsid w:val="00695D22"/>
    <w:rsid w:val="006A07AA"/>
    <w:rsid w:val="006A25E5"/>
    <w:rsid w:val="006A2B46"/>
    <w:rsid w:val="006A336D"/>
    <w:rsid w:val="006A37B9"/>
    <w:rsid w:val="006A6847"/>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4E5"/>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7E4"/>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AA1"/>
    <w:rsid w:val="00896DFF"/>
    <w:rsid w:val="0089762C"/>
    <w:rsid w:val="008A1893"/>
    <w:rsid w:val="008A3215"/>
    <w:rsid w:val="008A57E6"/>
    <w:rsid w:val="008A6F81"/>
    <w:rsid w:val="008A769A"/>
    <w:rsid w:val="008B0C9C"/>
    <w:rsid w:val="008B166D"/>
    <w:rsid w:val="008B17F4"/>
    <w:rsid w:val="008B3615"/>
    <w:rsid w:val="008B427D"/>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A1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9B4"/>
    <w:rsid w:val="009A72AD"/>
    <w:rsid w:val="009B09E0"/>
    <w:rsid w:val="009B0BC5"/>
    <w:rsid w:val="009B111D"/>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5D92"/>
    <w:rsid w:val="009E6219"/>
    <w:rsid w:val="009F03B3"/>
    <w:rsid w:val="00A0096C"/>
    <w:rsid w:val="00A01757"/>
    <w:rsid w:val="00A028C0"/>
    <w:rsid w:val="00A02BAE"/>
    <w:rsid w:val="00A06A6B"/>
    <w:rsid w:val="00A07E47"/>
    <w:rsid w:val="00A129D0"/>
    <w:rsid w:val="00A12C33"/>
    <w:rsid w:val="00A138BA"/>
    <w:rsid w:val="00A140A5"/>
    <w:rsid w:val="00A14C8E"/>
    <w:rsid w:val="00A153D9"/>
    <w:rsid w:val="00A15F09"/>
    <w:rsid w:val="00A169B6"/>
    <w:rsid w:val="00A2271D"/>
    <w:rsid w:val="00A237D5"/>
    <w:rsid w:val="00A30EFC"/>
    <w:rsid w:val="00A31984"/>
    <w:rsid w:val="00A32D73"/>
    <w:rsid w:val="00A3367B"/>
    <w:rsid w:val="00A3458B"/>
    <w:rsid w:val="00A35110"/>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D64"/>
    <w:rsid w:val="00A648CD"/>
    <w:rsid w:val="00A6537A"/>
    <w:rsid w:val="00A67866"/>
    <w:rsid w:val="00A70B07"/>
    <w:rsid w:val="00A723F8"/>
    <w:rsid w:val="00A77CCB"/>
    <w:rsid w:val="00A83D8D"/>
    <w:rsid w:val="00A8446B"/>
    <w:rsid w:val="00A8473F"/>
    <w:rsid w:val="00A862D6"/>
    <w:rsid w:val="00A8715E"/>
    <w:rsid w:val="00A87872"/>
    <w:rsid w:val="00A9295B"/>
    <w:rsid w:val="00A93B09"/>
    <w:rsid w:val="00A94247"/>
    <w:rsid w:val="00A952D7"/>
    <w:rsid w:val="00A963F7"/>
    <w:rsid w:val="00A96AD8"/>
    <w:rsid w:val="00AA052C"/>
    <w:rsid w:val="00AA1E45"/>
    <w:rsid w:val="00AA4286"/>
    <w:rsid w:val="00AA456B"/>
    <w:rsid w:val="00AA57F5"/>
    <w:rsid w:val="00AA672E"/>
    <w:rsid w:val="00AA6EC9"/>
    <w:rsid w:val="00AB231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BE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720"/>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9ED"/>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8D8"/>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2E4"/>
    <w:rsid w:val="00D466AE"/>
    <w:rsid w:val="00D4734F"/>
    <w:rsid w:val="00D51BF3"/>
    <w:rsid w:val="00D6207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4EB"/>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9F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1E83"/>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70A"/>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4BE1"/>
    <w:rsid w:val="00FE54AE"/>
    <w:rsid w:val="00FE576A"/>
    <w:rsid w:val="00FE6373"/>
    <w:rsid w:val="00FE7E79"/>
    <w:rsid w:val="00FF3E7D"/>
    <w:rsid w:val="00FF5B99"/>
    <w:rsid w:val="00FF6C25"/>
    <w:rsid w:val="00FF730C"/>
    <w:rsid w:val="00FF73F4"/>
    <w:rsid w:val="00FF7CE4"/>
    <w:rsid w:val="00FF7E39"/>
    <w:rsid w:val="01972C20"/>
    <w:rsid w:val="02771026"/>
    <w:rsid w:val="02C57005"/>
    <w:rsid w:val="031E27AC"/>
    <w:rsid w:val="032C7C31"/>
    <w:rsid w:val="03A5079A"/>
    <w:rsid w:val="0466502E"/>
    <w:rsid w:val="04EB6681"/>
    <w:rsid w:val="05B50219"/>
    <w:rsid w:val="05EE1CC7"/>
    <w:rsid w:val="06040801"/>
    <w:rsid w:val="064B10ED"/>
    <w:rsid w:val="06624721"/>
    <w:rsid w:val="066C559F"/>
    <w:rsid w:val="06936FD0"/>
    <w:rsid w:val="06EB6E0C"/>
    <w:rsid w:val="071B28CB"/>
    <w:rsid w:val="074C427D"/>
    <w:rsid w:val="07B62F76"/>
    <w:rsid w:val="096229AB"/>
    <w:rsid w:val="0A005530"/>
    <w:rsid w:val="0A8C469E"/>
    <w:rsid w:val="0B651B02"/>
    <w:rsid w:val="0BC7297B"/>
    <w:rsid w:val="0BD460C1"/>
    <w:rsid w:val="0CF85DDF"/>
    <w:rsid w:val="0D2A250F"/>
    <w:rsid w:val="0D966318"/>
    <w:rsid w:val="0DDE6B5A"/>
    <w:rsid w:val="0E7026B1"/>
    <w:rsid w:val="0E810CE5"/>
    <w:rsid w:val="0F5446EB"/>
    <w:rsid w:val="0F7934C0"/>
    <w:rsid w:val="10044A9B"/>
    <w:rsid w:val="10515328"/>
    <w:rsid w:val="10895F8A"/>
    <w:rsid w:val="10945E1E"/>
    <w:rsid w:val="109E7B60"/>
    <w:rsid w:val="10A751A4"/>
    <w:rsid w:val="11565C2E"/>
    <w:rsid w:val="11A726EA"/>
    <w:rsid w:val="11D0782E"/>
    <w:rsid w:val="11F34DC7"/>
    <w:rsid w:val="12067AF4"/>
    <w:rsid w:val="122E4051"/>
    <w:rsid w:val="12A27881"/>
    <w:rsid w:val="12B72298"/>
    <w:rsid w:val="12F45E36"/>
    <w:rsid w:val="13264305"/>
    <w:rsid w:val="1347319C"/>
    <w:rsid w:val="137F22EB"/>
    <w:rsid w:val="139B50EA"/>
    <w:rsid w:val="13F6294C"/>
    <w:rsid w:val="13F8694C"/>
    <w:rsid w:val="14AC427C"/>
    <w:rsid w:val="14AC7225"/>
    <w:rsid w:val="14FD05A4"/>
    <w:rsid w:val="15284D87"/>
    <w:rsid w:val="161963FE"/>
    <w:rsid w:val="167A18E7"/>
    <w:rsid w:val="16833AD7"/>
    <w:rsid w:val="168A5F46"/>
    <w:rsid w:val="16FF02BE"/>
    <w:rsid w:val="172A591A"/>
    <w:rsid w:val="178A44B3"/>
    <w:rsid w:val="17E97347"/>
    <w:rsid w:val="182810CF"/>
    <w:rsid w:val="19287BB6"/>
    <w:rsid w:val="19C43406"/>
    <w:rsid w:val="1A310B82"/>
    <w:rsid w:val="1ADF413A"/>
    <w:rsid w:val="1BAC6712"/>
    <w:rsid w:val="1C113F74"/>
    <w:rsid w:val="1C6F468F"/>
    <w:rsid w:val="1E6E2A9A"/>
    <w:rsid w:val="1F1C55E4"/>
    <w:rsid w:val="1F917194"/>
    <w:rsid w:val="1FBA579B"/>
    <w:rsid w:val="1FD04999"/>
    <w:rsid w:val="202D2326"/>
    <w:rsid w:val="20A91472"/>
    <w:rsid w:val="20C95670"/>
    <w:rsid w:val="211D59BC"/>
    <w:rsid w:val="21EE1107"/>
    <w:rsid w:val="220426D8"/>
    <w:rsid w:val="229E48DB"/>
    <w:rsid w:val="22A04AF7"/>
    <w:rsid w:val="22E449E3"/>
    <w:rsid w:val="234D0487"/>
    <w:rsid w:val="237A27E5"/>
    <w:rsid w:val="23F21382"/>
    <w:rsid w:val="247E6772"/>
    <w:rsid w:val="24BB2CAD"/>
    <w:rsid w:val="254A2A96"/>
    <w:rsid w:val="255F2169"/>
    <w:rsid w:val="25AE3087"/>
    <w:rsid w:val="25B9711A"/>
    <w:rsid w:val="25BD098A"/>
    <w:rsid w:val="25F27756"/>
    <w:rsid w:val="26AE4A01"/>
    <w:rsid w:val="26B47A3B"/>
    <w:rsid w:val="276F4A05"/>
    <w:rsid w:val="28681C7B"/>
    <w:rsid w:val="28D0421C"/>
    <w:rsid w:val="28F428B4"/>
    <w:rsid w:val="29690CDE"/>
    <w:rsid w:val="296C03EE"/>
    <w:rsid w:val="29BD780B"/>
    <w:rsid w:val="29DE3819"/>
    <w:rsid w:val="29E057D9"/>
    <w:rsid w:val="2AD417E1"/>
    <w:rsid w:val="2BBE2ED6"/>
    <w:rsid w:val="2CED26E7"/>
    <w:rsid w:val="2D3C47AB"/>
    <w:rsid w:val="2D5B7F98"/>
    <w:rsid w:val="2D7F1E7E"/>
    <w:rsid w:val="2E4C2984"/>
    <w:rsid w:val="2F176141"/>
    <w:rsid w:val="2F807F55"/>
    <w:rsid w:val="30D631FF"/>
    <w:rsid w:val="3136002F"/>
    <w:rsid w:val="31922A64"/>
    <w:rsid w:val="31EA5447"/>
    <w:rsid w:val="31FE6223"/>
    <w:rsid w:val="321C462A"/>
    <w:rsid w:val="33064502"/>
    <w:rsid w:val="3361379C"/>
    <w:rsid w:val="33695E48"/>
    <w:rsid w:val="33A56078"/>
    <w:rsid w:val="346534AA"/>
    <w:rsid w:val="346E6803"/>
    <w:rsid w:val="34EE16F2"/>
    <w:rsid w:val="35763E83"/>
    <w:rsid w:val="35867B7C"/>
    <w:rsid w:val="358A6C10"/>
    <w:rsid w:val="35B244CD"/>
    <w:rsid w:val="35ED10F0"/>
    <w:rsid w:val="360E5D41"/>
    <w:rsid w:val="367D1576"/>
    <w:rsid w:val="37016543"/>
    <w:rsid w:val="37060F75"/>
    <w:rsid w:val="37271359"/>
    <w:rsid w:val="37704C47"/>
    <w:rsid w:val="377F0956"/>
    <w:rsid w:val="379F4F93"/>
    <w:rsid w:val="38392C84"/>
    <w:rsid w:val="38A8605B"/>
    <w:rsid w:val="38A945A5"/>
    <w:rsid w:val="38D803E3"/>
    <w:rsid w:val="39641241"/>
    <w:rsid w:val="398731CC"/>
    <w:rsid w:val="3ACF78CF"/>
    <w:rsid w:val="3B213D0B"/>
    <w:rsid w:val="3B2E79CF"/>
    <w:rsid w:val="3B571DA6"/>
    <w:rsid w:val="3BA66882"/>
    <w:rsid w:val="3BBD3BCC"/>
    <w:rsid w:val="3C1F3773"/>
    <w:rsid w:val="3C371806"/>
    <w:rsid w:val="3C3A162F"/>
    <w:rsid w:val="3C813A01"/>
    <w:rsid w:val="3C9260E6"/>
    <w:rsid w:val="3CF4361D"/>
    <w:rsid w:val="3D375A4A"/>
    <w:rsid w:val="3D91549A"/>
    <w:rsid w:val="3ED657B5"/>
    <w:rsid w:val="3EF115E1"/>
    <w:rsid w:val="3FFB37A6"/>
    <w:rsid w:val="4004001B"/>
    <w:rsid w:val="403631D4"/>
    <w:rsid w:val="404611D8"/>
    <w:rsid w:val="406E36E7"/>
    <w:rsid w:val="40D20C01"/>
    <w:rsid w:val="40F1696F"/>
    <w:rsid w:val="411249BA"/>
    <w:rsid w:val="411A2CCB"/>
    <w:rsid w:val="42801FE4"/>
    <w:rsid w:val="43AB4AE8"/>
    <w:rsid w:val="43B30A1D"/>
    <w:rsid w:val="4406131F"/>
    <w:rsid w:val="446D6703"/>
    <w:rsid w:val="447D10A0"/>
    <w:rsid w:val="44AE7A02"/>
    <w:rsid w:val="45A70F67"/>
    <w:rsid w:val="45E22BAD"/>
    <w:rsid w:val="460F2CBC"/>
    <w:rsid w:val="465316EE"/>
    <w:rsid w:val="467F0D0C"/>
    <w:rsid w:val="478F466E"/>
    <w:rsid w:val="479D4AD2"/>
    <w:rsid w:val="483E23B4"/>
    <w:rsid w:val="48653621"/>
    <w:rsid w:val="48AC5B81"/>
    <w:rsid w:val="48CC6D5E"/>
    <w:rsid w:val="48D87743"/>
    <w:rsid w:val="48E440C6"/>
    <w:rsid w:val="4910358D"/>
    <w:rsid w:val="495C0A9C"/>
    <w:rsid w:val="498E62E1"/>
    <w:rsid w:val="4A5A1C87"/>
    <w:rsid w:val="4A6432EA"/>
    <w:rsid w:val="4AB643D1"/>
    <w:rsid w:val="4B2B2AC4"/>
    <w:rsid w:val="4B6202EC"/>
    <w:rsid w:val="4B693428"/>
    <w:rsid w:val="4B7522CA"/>
    <w:rsid w:val="4BE653AE"/>
    <w:rsid w:val="4C365902"/>
    <w:rsid w:val="4CC308E1"/>
    <w:rsid w:val="4CF03B5D"/>
    <w:rsid w:val="4DC009AB"/>
    <w:rsid w:val="4DE35714"/>
    <w:rsid w:val="4E0700DA"/>
    <w:rsid w:val="4EFE5B25"/>
    <w:rsid w:val="4F787048"/>
    <w:rsid w:val="50832BD4"/>
    <w:rsid w:val="51366528"/>
    <w:rsid w:val="51394181"/>
    <w:rsid w:val="51F779E0"/>
    <w:rsid w:val="522E68F7"/>
    <w:rsid w:val="52A45FAA"/>
    <w:rsid w:val="52AF2B74"/>
    <w:rsid w:val="538C6847"/>
    <w:rsid w:val="53F31CF0"/>
    <w:rsid w:val="545804DE"/>
    <w:rsid w:val="549C2A5F"/>
    <w:rsid w:val="54B7756F"/>
    <w:rsid w:val="54BE3B01"/>
    <w:rsid w:val="54CB23F3"/>
    <w:rsid w:val="54E12281"/>
    <w:rsid w:val="54FC355F"/>
    <w:rsid w:val="560238D5"/>
    <w:rsid w:val="560B4AF1"/>
    <w:rsid w:val="56D4706C"/>
    <w:rsid w:val="573A262E"/>
    <w:rsid w:val="575E22AF"/>
    <w:rsid w:val="57C06AC6"/>
    <w:rsid w:val="57E62F88"/>
    <w:rsid w:val="58B02697"/>
    <w:rsid w:val="58D5034F"/>
    <w:rsid w:val="596C1AAF"/>
    <w:rsid w:val="59E3084A"/>
    <w:rsid w:val="5AEF2EA3"/>
    <w:rsid w:val="5B0B5F91"/>
    <w:rsid w:val="5B2335F4"/>
    <w:rsid w:val="5C403D31"/>
    <w:rsid w:val="5D623A6C"/>
    <w:rsid w:val="5D7A3825"/>
    <w:rsid w:val="5ECD4B97"/>
    <w:rsid w:val="5EEA1E99"/>
    <w:rsid w:val="5F337B7D"/>
    <w:rsid w:val="602D1218"/>
    <w:rsid w:val="6223037D"/>
    <w:rsid w:val="630D5210"/>
    <w:rsid w:val="632221F9"/>
    <w:rsid w:val="635E105A"/>
    <w:rsid w:val="637E1A26"/>
    <w:rsid w:val="63A66C6E"/>
    <w:rsid w:val="63CB65D6"/>
    <w:rsid w:val="64585F62"/>
    <w:rsid w:val="64C73BA2"/>
    <w:rsid w:val="651C4775"/>
    <w:rsid w:val="65385E0F"/>
    <w:rsid w:val="65B86875"/>
    <w:rsid w:val="66CB4B3F"/>
    <w:rsid w:val="67156530"/>
    <w:rsid w:val="6733109C"/>
    <w:rsid w:val="677671A1"/>
    <w:rsid w:val="68D47FEC"/>
    <w:rsid w:val="69966CB4"/>
    <w:rsid w:val="6BD66460"/>
    <w:rsid w:val="6C017567"/>
    <w:rsid w:val="6C553829"/>
    <w:rsid w:val="6CA97151"/>
    <w:rsid w:val="6CC62031"/>
    <w:rsid w:val="6D34343E"/>
    <w:rsid w:val="6D54588F"/>
    <w:rsid w:val="6D8617C0"/>
    <w:rsid w:val="6DC75CB1"/>
    <w:rsid w:val="6E245AEE"/>
    <w:rsid w:val="6EB20E34"/>
    <w:rsid w:val="6EC33DC9"/>
    <w:rsid w:val="6F40256E"/>
    <w:rsid w:val="7036127C"/>
    <w:rsid w:val="706A5D3F"/>
    <w:rsid w:val="70751B2B"/>
    <w:rsid w:val="71044E9D"/>
    <w:rsid w:val="713F23B2"/>
    <w:rsid w:val="71DE6C75"/>
    <w:rsid w:val="72D44CAA"/>
    <w:rsid w:val="735C36EF"/>
    <w:rsid w:val="739E17AC"/>
    <w:rsid w:val="73D03795"/>
    <w:rsid w:val="744422CE"/>
    <w:rsid w:val="7463644D"/>
    <w:rsid w:val="752B3379"/>
    <w:rsid w:val="752F711D"/>
    <w:rsid w:val="758E253A"/>
    <w:rsid w:val="76010841"/>
    <w:rsid w:val="769F1845"/>
    <w:rsid w:val="76AA4903"/>
    <w:rsid w:val="77D221D2"/>
    <w:rsid w:val="789C3C17"/>
    <w:rsid w:val="78F86E3B"/>
    <w:rsid w:val="79074632"/>
    <w:rsid w:val="7913517D"/>
    <w:rsid w:val="791412EC"/>
    <w:rsid w:val="79591775"/>
    <w:rsid w:val="79921C19"/>
    <w:rsid w:val="79A20FA0"/>
    <w:rsid w:val="7A4078C7"/>
    <w:rsid w:val="7A58636B"/>
    <w:rsid w:val="7A9E5FB6"/>
    <w:rsid w:val="7B340AAD"/>
    <w:rsid w:val="7B3F7B7E"/>
    <w:rsid w:val="7B4038F6"/>
    <w:rsid w:val="7B952FF4"/>
    <w:rsid w:val="7C620441"/>
    <w:rsid w:val="7C831CEC"/>
    <w:rsid w:val="7CFB1883"/>
    <w:rsid w:val="7D195AC8"/>
    <w:rsid w:val="7D8775B7"/>
    <w:rsid w:val="7DA243F4"/>
    <w:rsid w:val="7DB72754"/>
    <w:rsid w:val="7E834226"/>
    <w:rsid w:val="7EC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064CA89FD149048F4080673C57F382"/>
        <w:style w:val=""/>
        <w:category>
          <w:name w:val="常规"/>
          <w:gallery w:val="placeholder"/>
        </w:category>
        <w:types>
          <w:type w:val="bbPlcHdr"/>
        </w:types>
        <w:behaviors>
          <w:behavior w:val="content"/>
        </w:behaviors>
        <w:description w:val=""/>
        <w:guid w:val="{3B504ACA-C52F-4F67-BA5F-3C4EE4B242D6}"/>
      </w:docPartPr>
      <w:docPartBody>
        <w:p w14:paraId="140C33E0">
          <w:pPr>
            <w:pStyle w:val="5"/>
          </w:pPr>
          <w:r>
            <w:rPr>
              <w:rStyle w:val="4"/>
              <w:rFonts w:hint="eastAsia"/>
            </w:rPr>
            <w:t>单击或点击此处输入文字。</w:t>
          </w:r>
        </w:p>
      </w:docPartBody>
    </w:docPart>
    <w:docPart>
      <w:docPartPr>
        <w:name w:val="25CD4FCD430743CA9221DDD8BDA4C633"/>
        <w:style w:val=""/>
        <w:category>
          <w:name w:val="常规"/>
          <w:gallery w:val="placeholder"/>
        </w:category>
        <w:types>
          <w:type w:val="bbPlcHdr"/>
        </w:types>
        <w:behaviors>
          <w:behavior w:val="content"/>
        </w:behaviors>
        <w:description w:val=""/>
        <w:guid w:val="{A12D4110-26B5-4519-904C-4956ED5FC1A7}"/>
      </w:docPartPr>
      <w:docPartBody>
        <w:p w14:paraId="699E5690">
          <w:pPr>
            <w:pStyle w:val="6"/>
          </w:pPr>
          <w:r>
            <w:rPr>
              <w:rStyle w:val="4"/>
              <w:rFonts w:hint="eastAsia"/>
            </w:rPr>
            <w:t>选择一项。</w:t>
          </w:r>
        </w:p>
      </w:docPartBody>
    </w:docPart>
    <w:docPart>
      <w:docPartPr>
        <w:name w:val="6A02B4A4E44A4E0C8AAB7E8E54E9A58A"/>
        <w:style w:val=""/>
        <w:category>
          <w:name w:val="常规"/>
          <w:gallery w:val="placeholder"/>
        </w:category>
        <w:types>
          <w:type w:val="bbPlcHdr"/>
        </w:types>
        <w:behaviors>
          <w:behavior w:val="content"/>
        </w:behaviors>
        <w:description w:val=""/>
        <w:guid w:val="{F624ABDD-472D-4E51-94FF-94BBAB90D157}"/>
      </w:docPartPr>
      <w:docPartBody>
        <w:p w14:paraId="02CF5B7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80"/>
    <w:rsid w:val="00164980"/>
    <w:rsid w:val="00193F4F"/>
    <w:rsid w:val="0024123D"/>
    <w:rsid w:val="002F7929"/>
    <w:rsid w:val="0039294B"/>
    <w:rsid w:val="003B550D"/>
    <w:rsid w:val="00533A87"/>
    <w:rsid w:val="00747063"/>
    <w:rsid w:val="008A39F8"/>
    <w:rsid w:val="009B6A31"/>
    <w:rsid w:val="009F6560"/>
    <w:rsid w:val="00A6725A"/>
    <w:rsid w:val="00BB1BEA"/>
    <w:rsid w:val="00D2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A064CA89FD149048F4080673C57F3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CD4FCD430743CA9221DDD8BDA4C6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A02B4A4E44A4E0C8AAB7E8E54E9A58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849DC-3022-4442-AD66-BCC9DAC2F59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2807</Words>
  <Characters>2900</Characters>
  <Lines>38</Lines>
  <Paragraphs>10</Paragraphs>
  <TotalTime>0</TotalTime>
  <ScaleCrop>false</ScaleCrop>
  <LinksUpToDate>false</LinksUpToDate>
  <CharactersWithSpaces>2989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2024-05-13T00:25:00Z</dcterms:created>
  <dc:creator>Administrator</dc:creator>
  <dc:description>&lt;config cover="true" show_menu="true" version="1.0.0" doctype="SDKXY"&gt;_x000d_
&lt;/config&gt;</dc:description>
  <cp:lastModifiedBy>Sec雪天&amp;2020</cp:lastModifiedBy>
  <cp:lastPrinted>2024-09-04T09:11:00Z</cp:lastPrinted>
  <dcterms:modified xsi:type="dcterms:W3CDTF">2024-09-23T03:26:08Z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C421F9CA901541059D05672D9541E2D7_13</vt:lpwstr>
  </property>
</Properties>
</file>